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A8F3" w14:textId="77777777" w:rsidR="00C97994" w:rsidRPr="00B7703B" w:rsidRDefault="00C97994" w:rsidP="00617B16">
      <w:pPr>
        <w:widowControl w:val="0"/>
        <w:spacing w:after="0" w:line="240" w:lineRule="auto"/>
        <w:jc w:val="center"/>
        <w:rPr>
          <w:rFonts w:ascii="Arial" w:eastAsia="Calibri" w:hAnsi="Arial" w:cs="Arial"/>
          <w:b/>
          <w:bCs/>
          <w:color w:val="000000" w:themeColor="text1"/>
        </w:rPr>
      </w:pPr>
      <w:r w:rsidRPr="00B7703B">
        <w:rPr>
          <w:rFonts w:ascii="Arial" w:eastAsia="Calibri" w:hAnsi="Arial" w:cs="Arial"/>
          <w:b/>
          <w:bCs/>
          <w:color w:val="000000" w:themeColor="text1"/>
        </w:rPr>
        <w:t>SUMMARY OF CHANGES</w:t>
      </w:r>
    </w:p>
    <w:p w14:paraId="6B195E79" w14:textId="77777777" w:rsidR="00C97994" w:rsidRPr="00B7703B" w:rsidRDefault="00C97994" w:rsidP="00617B16">
      <w:pPr>
        <w:widowControl w:val="0"/>
        <w:spacing w:after="0" w:line="240" w:lineRule="auto"/>
        <w:jc w:val="center"/>
        <w:rPr>
          <w:rFonts w:ascii="Arial" w:eastAsia="Calibri" w:hAnsi="Arial" w:cs="Arial"/>
          <w:b/>
          <w:bCs/>
          <w:color w:val="000000" w:themeColor="text1"/>
        </w:rPr>
      </w:pPr>
      <w:r w:rsidRPr="00B7703B">
        <w:rPr>
          <w:rFonts w:ascii="Arial" w:eastAsia="Calibri" w:hAnsi="Arial" w:cs="Arial"/>
          <w:b/>
          <w:bCs/>
          <w:color w:val="000000" w:themeColor="text1"/>
        </w:rPr>
        <w:t xml:space="preserve">INCLUDED IN THE FULL </w:t>
      </w:r>
      <w:r w:rsidR="00D70582">
        <w:rPr>
          <w:rFonts w:ascii="Arial" w:eastAsia="Calibri" w:hAnsi="Arial" w:cs="Arial"/>
          <w:b/>
          <w:bCs/>
          <w:color w:val="000000" w:themeColor="text1"/>
        </w:rPr>
        <w:t xml:space="preserve">VERSION </w:t>
      </w:r>
      <w:r w:rsidR="00126482">
        <w:rPr>
          <w:rFonts w:ascii="Arial" w:eastAsia="Calibri" w:hAnsi="Arial" w:cs="Arial"/>
          <w:b/>
          <w:bCs/>
          <w:color w:val="000000" w:themeColor="text1"/>
        </w:rPr>
        <w:t>PROTOCOL AMENDMENT OF</w:t>
      </w:r>
    </w:p>
    <w:p w14:paraId="474A2CE3" w14:textId="77777777" w:rsidR="008A11F1" w:rsidRPr="00B7703B" w:rsidRDefault="008A11F1" w:rsidP="00617B16">
      <w:pPr>
        <w:widowControl w:val="0"/>
        <w:spacing w:after="0" w:line="240" w:lineRule="auto"/>
        <w:jc w:val="center"/>
        <w:rPr>
          <w:rFonts w:ascii="Arial" w:eastAsia="Calibri" w:hAnsi="Arial" w:cs="Arial"/>
          <w:b/>
          <w:color w:val="000000" w:themeColor="text1"/>
        </w:rPr>
      </w:pPr>
    </w:p>
    <w:p w14:paraId="03A8CDB8" w14:textId="77777777" w:rsidR="00382DC1" w:rsidRPr="00B7703B" w:rsidRDefault="00E95F61" w:rsidP="00617B16">
      <w:pPr>
        <w:widowControl w:val="0"/>
        <w:spacing w:after="0" w:line="240" w:lineRule="auto"/>
        <w:jc w:val="center"/>
        <w:rPr>
          <w:rFonts w:ascii="Arial" w:eastAsia="Times New Roman" w:hAnsi="Arial" w:cs="Arial"/>
          <w:b/>
          <w:color w:val="000000" w:themeColor="text1"/>
        </w:rPr>
      </w:pPr>
      <w:r>
        <w:rPr>
          <w:rFonts w:ascii="Arial" w:eastAsia="Times New Roman" w:hAnsi="Arial" w:cs="Arial"/>
          <w:b/>
          <w:color w:val="000000" w:themeColor="text1"/>
        </w:rPr>
        <w:t>MTN-0</w:t>
      </w:r>
      <w:r w:rsidR="00154E0A">
        <w:rPr>
          <w:rFonts w:ascii="Arial" w:eastAsia="Times New Roman" w:hAnsi="Arial" w:cs="Arial"/>
          <w:b/>
          <w:color w:val="000000" w:themeColor="text1"/>
        </w:rPr>
        <w:t>33</w:t>
      </w:r>
    </w:p>
    <w:p w14:paraId="7DE8C9BB" w14:textId="77777777" w:rsidR="00EA6A91" w:rsidRPr="00B7703B" w:rsidRDefault="00EA6A91" w:rsidP="00617B16">
      <w:pPr>
        <w:widowControl w:val="0"/>
        <w:spacing w:after="0" w:line="240" w:lineRule="auto"/>
        <w:jc w:val="center"/>
        <w:rPr>
          <w:rFonts w:ascii="Arial" w:eastAsia="Times New Roman" w:hAnsi="Arial" w:cs="Arial"/>
          <w:b/>
          <w:color w:val="000000" w:themeColor="text1"/>
        </w:rPr>
      </w:pPr>
    </w:p>
    <w:p w14:paraId="66900C7C" w14:textId="77777777" w:rsidR="00EA6A91" w:rsidRDefault="00154E0A" w:rsidP="00154E0A">
      <w:pPr>
        <w:widowControl w:val="0"/>
        <w:spacing w:after="0" w:line="240" w:lineRule="auto"/>
        <w:jc w:val="center"/>
        <w:rPr>
          <w:rFonts w:ascii="Arial" w:hAnsi="Arial" w:cs="Arial"/>
          <w:b/>
        </w:rPr>
      </w:pPr>
      <w:r w:rsidRPr="00154E0A">
        <w:rPr>
          <w:rFonts w:ascii="Arial" w:hAnsi="Arial" w:cs="Arial"/>
          <w:b/>
        </w:rPr>
        <w:t>An Open Label Randomized Phase 1 Pharmacokinetic Study of Dapivirine Gel Administered Rectally to HIV-1 Seronegative Adults</w:t>
      </w:r>
    </w:p>
    <w:p w14:paraId="3F3BCD22" w14:textId="77777777" w:rsidR="00154E0A" w:rsidRPr="00B7703B" w:rsidRDefault="00154E0A" w:rsidP="00617B16">
      <w:pPr>
        <w:widowControl w:val="0"/>
        <w:spacing w:after="0" w:line="240" w:lineRule="auto"/>
        <w:rPr>
          <w:rFonts w:ascii="Arial" w:eastAsia="Times New Roman" w:hAnsi="Arial" w:cs="Arial"/>
          <w:b/>
          <w:color w:val="000000" w:themeColor="text1"/>
        </w:rPr>
      </w:pPr>
    </w:p>
    <w:p w14:paraId="74397441" w14:textId="77777777" w:rsidR="00EA6A91" w:rsidRPr="00B7703B" w:rsidRDefault="00382DC1" w:rsidP="00617B16">
      <w:pPr>
        <w:widowControl w:val="0"/>
        <w:spacing w:after="0" w:line="240" w:lineRule="auto"/>
        <w:jc w:val="center"/>
        <w:rPr>
          <w:rFonts w:ascii="Arial" w:eastAsia="Times New Roman" w:hAnsi="Arial" w:cs="Arial"/>
          <w:b/>
          <w:color w:val="000000" w:themeColor="text1"/>
        </w:rPr>
      </w:pPr>
      <w:r w:rsidRPr="00B7703B">
        <w:rPr>
          <w:rFonts w:ascii="Arial" w:eastAsia="Times New Roman" w:hAnsi="Arial" w:cs="Arial"/>
          <w:b/>
          <w:color w:val="000000" w:themeColor="text1"/>
        </w:rPr>
        <w:t>DAIDS Protocol #1</w:t>
      </w:r>
      <w:r w:rsidR="00154E0A">
        <w:rPr>
          <w:rFonts w:ascii="Arial" w:eastAsia="Times New Roman" w:hAnsi="Arial" w:cs="Arial"/>
          <w:b/>
          <w:color w:val="000000" w:themeColor="text1"/>
        </w:rPr>
        <w:t>2065</w:t>
      </w:r>
    </w:p>
    <w:p w14:paraId="5B2DD8D3" w14:textId="77777777" w:rsidR="00382DC1" w:rsidRPr="00B7703B" w:rsidRDefault="00EA6A91" w:rsidP="00617B16">
      <w:pPr>
        <w:widowControl w:val="0"/>
        <w:spacing w:after="0" w:line="240" w:lineRule="auto"/>
        <w:jc w:val="center"/>
        <w:rPr>
          <w:rFonts w:ascii="Arial" w:eastAsia="Times New Roman" w:hAnsi="Arial" w:cs="Arial"/>
          <w:b/>
          <w:color w:val="000000" w:themeColor="text1"/>
        </w:rPr>
      </w:pPr>
      <w:r w:rsidRPr="00B7703B">
        <w:rPr>
          <w:rFonts w:ascii="Arial" w:eastAsia="Times New Roman" w:hAnsi="Arial" w:cs="Arial"/>
          <w:b/>
          <w:color w:val="000000" w:themeColor="text1"/>
        </w:rPr>
        <w:t xml:space="preserve">        </w:t>
      </w:r>
    </w:p>
    <w:p w14:paraId="08E3F032" w14:textId="77777777" w:rsidR="00382DC1" w:rsidRPr="00B7703B" w:rsidRDefault="00382DC1" w:rsidP="00617B16">
      <w:pPr>
        <w:widowControl w:val="0"/>
        <w:tabs>
          <w:tab w:val="left" w:pos="720"/>
        </w:tabs>
        <w:autoSpaceDE w:val="0"/>
        <w:autoSpaceDN w:val="0"/>
        <w:adjustRightInd w:val="0"/>
        <w:spacing w:after="0" w:line="240" w:lineRule="auto"/>
        <w:jc w:val="center"/>
        <w:outlineLvl w:val="0"/>
        <w:rPr>
          <w:rFonts w:ascii="Arial" w:eastAsia="Arial" w:hAnsi="Arial" w:cs="Arial"/>
          <w:b/>
          <w:color w:val="000000" w:themeColor="text1"/>
        </w:rPr>
      </w:pPr>
      <w:bookmarkStart w:id="0" w:name="_Toc190532865"/>
      <w:bookmarkStart w:id="1" w:name="_Toc190692575"/>
      <w:r w:rsidRPr="00B7703B">
        <w:rPr>
          <w:rFonts w:ascii="Arial" w:eastAsia="Arial" w:hAnsi="Arial" w:cs="Arial"/>
          <w:b/>
          <w:color w:val="000000" w:themeColor="text1"/>
        </w:rPr>
        <w:t>IND #</w:t>
      </w:r>
      <w:bookmarkEnd w:id="0"/>
      <w:bookmarkEnd w:id="1"/>
      <w:r w:rsidR="007B7444">
        <w:rPr>
          <w:rFonts w:ascii="Arial" w:eastAsia="Arial" w:hAnsi="Arial" w:cs="Arial"/>
          <w:b/>
          <w:color w:val="000000" w:themeColor="text1"/>
        </w:rPr>
        <w:t xml:space="preserve"> </w:t>
      </w:r>
      <w:r w:rsidR="00B42AF7" w:rsidRPr="00B42AF7">
        <w:rPr>
          <w:rFonts w:ascii="Arial" w:eastAsia="MS Mincho" w:hAnsi="Arial" w:cs="Arial"/>
          <w:b/>
          <w:color w:val="000000"/>
        </w:rPr>
        <w:t>136320</w:t>
      </w:r>
    </w:p>
    <w:p w14:paraId="2B8263F7" w14:textId="77777777" w:rsidR="00382DC1" w:rsidRPr="00B7703B" w:rsidRDefault="00382DC1" w:rsidP="00617B16">
      <w:pPr>
        <w:widowControl w:val="0"/>
        <w:tabs>
          <w:tab w:val="left" w:pos="720"/>
        </w:tabs>
        <w:autoSpaceDE w:val="0"/>
        <w:autoSpaceDN w:val="0"/>
        <w:adjustRightInd w:val="0"/>
        <w:spacing w:after="0" w:line="240" w:lineRule="auto"/>
        <w:jc w:val="center"/>
        <w:outlineLvl w:val="0"/>
        <w:rPr>
          <w:rFonts w:ascii="Arial" w:eastAsia="Times New Roman" w:hAnsi="Arial" w:cs="Arial"/>
          <w:b/>
          <w:bCs/>
          <w:color w:val="000000" w:themeColor="text1"/>
        </w:rPr>
      </w:pPr>
    </w:p>
    <w:p w14:paraId="4441BE3E" w14:textId="62B19049" w:rsidR="00382DC1" w:rsidRPr="00B7703B" w:rsidRDefault="00C97994" w:rsidP="00617B16">
      <w:pPr>
        <w:widowControl w:val="0"/>
        <w:spacing w:after="0" w:line="240" w:lineRule="auto"/>
        <w:jc w:val="center"/>
        <w:rPr>
          <w:rFonts w:ascii="Arial" w:eastAsia="Times New Roman" w:hAnsi="Arial" w:cs="Arial"/>
          <w:b/>
          <w:bCs/>
          <w:color w:val="000000" w:themeColor="text1"/>
        </w:rPr>
      </w:pPr>
      <w:r w:rsidRPr="00B7703B">
        <w:rPr>
          <w:rFonts w:ascii="Arial" w:eastAsia="Times New Roman" w:hAnsi="Arial" w:cs="Arial"/>
          <w:b/>
          <w:bCs/>
          <w:color w:val="000000" w:themeColor="text1"/>
        </w:rPr>
        <w:t>THE AMENDED PROTOCOL IS IDENTIFIED A</w:t>
      </w:r>
      <w:r w:rsidR="00602E03">
        <w:rPr>
          <w:rFonts w:ascii="Arial" w:eastAsia="Times New Roman" w:hAnsi="Arial" w:cs="Arial"/>
          <w:b/>
          <w:bCs/>
          <w:color w:val="000000" w:themeColor="text1"/>
        </w:rPr>
        <w:t xml:space="preserve">S: </w:t>
      </w:r>
      <w:r w:rsidR="00BD15F5">
        <w:rPr>
          <w:rFonts w:ascii="Arial" w:eastAsia="Times New Roman" w:hAnsi="Arial" w:cs="Arial"/>
          <w:b/>
          <w:bCs/>
          <w:color w:val="000000" w:themeColor="text1"/>
        </w:rPr>
        <w:t xml:space="preserve"> </w:t>
      </w:r>
      <w:r w:rsidR="00A86046">
        <w:rPr>
          <w:rFonts w:ascii="Arial" w:eastAsia="Times New Roman" w:hAnsi="Arial" w:cs="Arial"/>
          <w:b/>
          <w:bCs/>
          <w:color w:val="000000" w:themeColor="text1"/>
        </w:rPr>
        <w:t>Version 2.0</w:t>
      </w:r>
      <w:r w:rsidR="00154E0A">
        <w:rPr>
          <w:rFonts w:ascii="Arial" w:eastAsia="Times New Roman" w:hAnsi="Arial" w:cs="Arial"/>
          <w:b/>
          <w:bCs/>
          <w:color w:val="000000" w:themeColor="text1"/>
        </w:rPr>
        <w:t xml:space="preserve"> </w:t>
      </w:r>
      <w:r w:rsidRPr="00B7703B">
        <w:rPr>
          <w:rFonts w:ascii="Arial" w:eastAsia="Times New Roman" w:hAnsi="Arial" w:cs="Arial"/>
          <w:b/>
          <w:bCs/>
          <w:color w:val="000000" w:themeColor="text1"/>
        </w:rPr>
        <w:t>/</w:t>
      </w:r>
      <w:r w:rsidR="00B42AF7">
        <w:rPr>
          <w:rFonts w:ascii="Arial" w:eastAsia="Times New Roman" w:hAnsi="Arial" w:cs="Arial"/>
          <w:b/>
          <w:bCs/>
          <w:color w:val="000000" w:themeColor="text1"/>
        </w:rPr>
        <w:t xml:space="preserve"> </w:t>
      </w:r>
      <w:r w:rsidR="00A86046">
        <w:rPr>
          <w:rFonts w:ascii="Arial" w:eastAsia="Times New Roman" w:hAnsi="Arial" w:cs="Arial"/>
          <w:b/>
          <w:bCs/>
          <w:color w:val="000000" w:themeColor="text1"/>
        </w:rPr>
        <w:t>8</w:t>
      </w:r>
      <w:r w:rsidR="009D50E3">
        <w:rPr>
          <w:rFonts w:ascii="Arial" w:eastAsia="Times New Roman" w:hAnsi="Arial" w:cs="Arial"/>
          <w:b/>
          <w:bCs/>
          <w:color w:val="000000" w:themeColor="text1"/>
        </w:rPr>
        <w:t xml:space="preserve"> December</w:t>
      </w:r>
      <w:r w:rsidR="007B7444" w:rsidRPr="002A4A5F">
        <w:rPr>
          <w:rFonts w:ascii="Arial" w:eastAsia="Times New Roman" w:hAnsi="Arial" w:cs="Arial"/>
          <w:b/>
          <w:bCs/>
          <w:color w:val="FF0000"/>
        </w:rPr>
        <w:t xml:space="preserve"> </w:t>
      </w:r>
      <w:r w:rsidR="007B7444">
        <w:rPr>
          <w:rFonts w:ascii="Arial" w:eastAsia="Times New Roman" w:hAnsi="Arial" w:cs="Arial"/>
          <w:b/>
          <w:bCs/>
          <w:color w:val="000000" w:themeColor="text1"/>
        </w:rPr>
        <w:t>2017</w:t>
      </w:r>
    </w:p>
    <w:p w14:paraId="292C1D40" w14:textId="77777777" w:rsidR="008A11F1" w:rsidRPr="00B7703B" w:rsidRDefault="008A11F1" w:rsidP="00617B16">
      <w:pPr>
        <w:widowControl w:val="0"/>
        <w:pBdr>
          <w:bottom w:val="single" w:sz="12" w:space="1" w:color="auto"/>
        </w:pBdr>
        <w:autoSpaceDE w:val="0"/>
        <w:autoSpaceDN w:val="0"/>
        <w:adjustRightInd w:val="0"/>
        <w:spacing w:after="0" w:line="240" w:lineRule="auto"/>
        <w:jc w:val="both"/>
        <w:rPr>
          <w:rFonts w:ascii="Arial" w:eastAsia="Calibri" w:hAnsi="Arial" w:cs="Arial"/>
          <w:b/>
          <w:bCs/>
          <w:color w:val="000000" w:themeColor="text1"/>
        </w:rPr>
      </w:pPr>
    </w:p>
    <w:p w14:paraId="1C6AFA17" w14:textId="77777777" w:rsidR="00C97994" w:rsidRPr="00617B16" w:rsidRDefault="00C97994" w:rsidP="00617B16">
      <w:pPr>
        <w:widowControl w:val="0"/>
        <w:spacing w:after="0" w:line="240" w:lineRule="auto"/>
        <w:jc w:val="both"/>
        <w:rPr>
          <w:rFonts w:ascii="Arial" w:eastAsia="Calibri" w:hAnsi="Arial" w:cs="Arial"/>
          <w:color w:val="000000" w:themeColor="text1"/>
        </w:rPr>
      </w:pPr>
    </w:p>
    <w:p w14:paraId="4F091607" w14:textId="77777777" w:rsidR="00C97994" w:rsidRPr="00126482" w:rsidRDefault="00C97994" w:rsidP="00617B16">
      <w:pPr>
        <w:widowControl w:val="0"/>
        <w:spacing w:after="0" w:line="240" w:lineRule="auto"/>
        <w:jc w:val="center"/>
        <w:rPr>
          <w:rFonts w:ascii="Arial" w:eastAsia="Calibri" w:hAnsi="Arial" w:cs="Arial"/>
          <w:b/>
          <w:color w:val="000000" w:themeColor="text1"/>
        </w:rPr>
      </w:pPr>
      <w:r w:rsidRPr="00126482">
        <w:rPr>
          <w:rFonts w:ascii="Arial" w:eastAsia="Calibri" w:hAnsi="Arial" w:cs="Arial"/>
          <w:b/>
          <w:color w:val="000000" w:themeColor="text1"/>
        </w:rPr>
        <w:t>Information/Instructions to Study Sites</w:t>
      </w:r>
    </w:p>
    <w:p w14:paraId="2A9EE3EF" w14:textId="77777777" w:rsidR="00C97994" w:rsidRPr="00617B16" w:rsidRDefault="00C97994" w:rsidP="00617B16">
      <w:pPr>
        <w:widowControl w:val="0"/>
        <w:spacing w:after="0" w:line="240" w:lineRule="auto"/>
        <w:jc w:val="both"/>
        <w:rPr>
          <w:rFonts w:ascii="Arial" w:eastAsia="Calibri" w:hAnsi="Arial" w:cs="Arial"/>
          <w:color w:val="000000" w:themeColor="text1"/>
        </w:rPr>
      </w:pPr>
    </w:p>
    <w:p w14:paraId="2C9B160D" w14:textId="77777777" w:rsidR="00C97994" w:rsidRPr="00617B16" w:rsidRDefault="00C97994" w:rsidP="00617B16">
      <w:pPr>
        <w:widowControl w:val="0"/>
        <w:spacing w:after="0" w:line="240" w:lineRule="auto"/>
        <w:jc w:val="both"/>
        <w:rPr>
          <w:rFonts w:ascii="Arial" w:eastAsia="Calibri" w:hAnsi="Arial" w:cs="Arial"/>
          <w:color w:val="000000" w:themeColor="text1"/>
        </w:rPr>
      </w:pPr>
      <w:r w:rsidRPr="00617B16">
        <w:rPr>
          <w:rFonts w:ascii="Arial" w:eastAsia="Calibri" w:hAnsi="Arial" w:cs="Arial"/>
          <w:color w:val="000000" w:themeColor="text1"/>
        </w:rPr>
        <w:t xml:space="preserve">The information contained in this protocol amendment impacts the </w:t>
      </w:r>
      <w:r w:rsidR="00E152EA" w:rsidRPr="00617B16">
        <w:rPr>
          <w:rFonts w:ascii="Arial" w:eastAsia="Calibri" w:hAnsi="Arial" w:cs="Arial"/>
          <w:color w:val="000000" w:themeColor="text1"/>
        </w:rPr>
        <w:t>MTN-</w:t>
      </w:r>
      <w:r w:rsidR="00154E0A">
        <w:rPr>
          <w:rFonts w:ascii="Arial" w:eastAsia="Calibri" w:hAnsi="Arial" w:cs="Arial"/>
          <w:color w:val="000000" w:themeColor="text1"/>
        </w:rPr>
        <w:t>033</w:t>
      </w:r>
      <w:r w:rsidR="00E152EA">
        <w:rPr>
          <w:rFonts w:ascii="Arial" w:eastAsia="Calibri" w:hAnsi="Arial" w:cs="Arial"/>
          <w:color w:val="000000" w:themeColor="text1"/>
        </w:rPr>
        <w:t xml:space="preserve"> </w:t>
      </w:r>
      <w:r w:rsidRPr="00617B16">
        <w:rPr>
          <w:rFonts w:ascii="Arial" w:eastAsia="Calibri" w:hAnsi="Arial" w:cs="Arial"/>
          <w:color w:val="000000" w:themeColor="text1"/>
        </w:rPr>
        <w:t>study and must be forwarded to your Institutional Review Board (IRB)/Ethics Committee (EC) as soon as possible for their information and review. IRB approval is required before implementation of the modifications contained in this amendment. All IRB requirements must be followed.</w:t>
      </w:r>
    </w:p>
    <w:p w14:paraId="54A9BC79" w14:textId="77777777" w:rsidR="00C97994" w:rsidRPr="00617B16" w:rsidRDefault="00C97994" w:rsidP="00617B16">
      <w:pPr>
        <w:widowControl w:val="0"/>
        <w:spacing w:after="0" w:line="240" w:lineRule="auto"/>
        <w:jc w:val="both"/>
        <w:rPr>
          <w:rFonts w:ascii="Arial" w:eastAsia="Calibri" w:hAnsi="Arial" w:cs="Arial"/>
          <w:color w:val="000000" w:themeColor="text1"/>
        </w:rPr>
      </w:pPr>
    </w:p>
    <w:p w14:paraId="0EB0604D" w14:textId="77777777" w:rsidR="00C97994" w:rsidRPr="00617B16" w:rsidRDefault="00C97994" w:rsidP="00617B16">
      <w:pPr>
        <w:widowControl w:val="0"/>
        <w:spacing w:after="0" w:line="240" w:lineRule="auto"/>
        <w:jc w:val="both"/>
        <w:rPr>
          <w:rFonts w:ascii="Arial" w:eastAsia="Calibri" w:hAnsi="Arial" w:cs="Arial"/>
          <w:color w:val="000000" w:themeColor="text1"/>
        </w:rPr>
      </w:pPr>
      <w:r w:rsidRPr="00617B16">
        <w:rPr>
          <w:rFonts w:ascii="Arial" w:eastAsia="Calibri" w:hAnsi="Arial" w:cs="Arial"/>
          <w:color w:val="000000" w:themeColor="text1"/>
        </w:rPr>
        <w:t>Please file this Summary of Changes, Version 2.0 of the protocol and all associated IRB correspondence in your essential documents files for MTN-</w:t>
      </w:r>
      <w:r w:rsidR="00154E0A">
        <w:rPr>
          <w:rFonts w:ascii="Arial" w:eastAsia="Calibri" w:hAnsi="Arial" w:cs="Arial"/>
          <w:color w:val="000000" w:themeColor="text1"/>
        </w:rPr>
        <w:t>033</w:t>
      </w:r>
      <w:r w:rsidR="00602E03" w:rsidRPr="00617B16">
        <w:rPr>
          <w:rFonts w:ascii="Arial" w:eastAsia="Calibri" w:hAnsi="Arial" w:cs="Arial"/>
          <w:color w:val="000000" w:themeColor="text1"/>
        </w:rPr>
        <w:t>.</w:t>
      </w:r>
    </w:p>
    <w:p w14:paraId="1F6B247E" w14:textId="77777777" w:rsidR="00C97994" w:rsidRPr="00617B16" w:rsidRDefault="00C97994" w:rsidP="00617B16">
      <w:pPr>
        <w:widowControl w:val="0"/>
        <w:spacing w:after="0" w:line="240" w:lineRule="auto"/>
        <w:jc w:val="both"/>
        <w:rPr>
          <w:rFonts w:ascii="Arial" w:eastAsia="Calibri" w:hAnsi="Arial" w:cs="Arial"/>
          <w:color w:val="000000" w:themeColor="text1"/>
        </w:rPr>
      </w:pPr>
    </w:p>
    <w:p w14:paraId="6C63CA4A" w14:textId="77777777" w:rsidR="00C97994" w:rsidRPr="00126482" w:rsidRDefault="00C97994" w:rsidP="00617B16">
      <w:pPr>
        <w:widowControl w:val="0"/>
        <w:spacing w:after="0" w:line="240" w:lineRule="auto"/>
        <w:jc w:val="center"/>
        <w:rPr>
          <w:rFonts w:ascii="Arial" w:eastAsia="Calibri" w:hAnsi="Arial" w:cs="Arial"/>
          <w:b/>
          <w:color w:val="000000" w:themeColor="text1"/>
        </w:rPr>
      </w:pPr>
      <w:r w:rsidRPr="00126482">
        <w:rPr>
          <w:rFonts w:ascii="Arial" w:eastAsia="Calibri" w:hAnsi="Arial" w:cs="Arial"/>
          <w:b/>
          <w:color w:val="000000" w:themeColor="text1"/>
        </w:rPr>
        <w:t>Summary of Revisions</w:t>
      </w:r>
    </w:p>
    <w:p w14:paraId="4B5474E4" w14:textId="77777777" w:rsidR="00C97994" w:rsidRPr="00617B16" w:rsidRDefault="00C97994" w:rsidP="00617B16">
      <w:pPr>
        <w:widowControl w:val="0"/>
        <w:spacing w:after="0" w:line="240" w:lineRule="auto"/>
        <w:jc w:val="both"/>
        <w:rPr>
          <w:rFonts w:ascii="Arial" w:eastAsia="Calibri" w:hAnsi="Arial" w:cs="Arial"/>
          <w:color w:val="000000" w:themeColor="text1"/>
        </w:rPr>
      </w:pPr>
    </w:p>
    <w:p w14:paraId="021519FC" w14:textId="77777777" w:rsidR="00BF5459" w:rsidRPr="00617B16" w:rsidRDefault="00C97994" w:rsidP="00617B16">
      <w:pPr>
        <w:widowControl w:val="0"/>
        <w:spacing w:after="0" w:line="240" w:lineRule="auto"/>
        <w:jc w:val="both"/>
        <w:rPr>
          <w:rFonts w:ascii="Arial" w:eastAsia="Calibri" w:hAnsi="Arial" w:cs="Arial"/>
          <w:color w:val="000000" w:themeColor="text1"/>
        </w:rPr>
      </w:pPr>
      <w:r w:rsidRPr="00617B16">
        <w:rPr>
          <w:rFonts w:ascii="Arial" w:eastAsia="Calibri" w:hAnsi="Arial" w:cs="Arial"/>
          <w:color w:val="000000" w:themeColor="text1"/>
        </w:rPr>
        <w:t xml:space="preserve">A summary </w:t>
      </w:r>
      <w:r w:rsidR="00602E03" w:rsidRPr="00617B16">
        <w:rPr>
          <w:rFonts w:ascii="Arial" w:eastAsia="Calibri" w:hAnsi="Arial" w:cs="Arial"/>
          <w:color w:val="000000" w:themeColor="text1"/>
        </w:rPr>
        <w:t>of revisions is provided below:</w:t>
      </w:r>
    </w:p>
    <w:p w14:paraId="7E929323" w14:textId="77777777" w:rsidR="00602E03" w:rsidRPr="00B7703B" w:rsidRDefault="00602E03" w:rsidP="00617B16">
      <w:pPr>
        <w:widowControl w:val="0"/>
        <w:spacing w:after="0" w:line="240" w:lineRule="auto"/>
        <w:jc w:val="both"/>
        <w:rPr>
          <w:rFonts w:ascii="Arial" w:eastAsia="Calibri" w:hAnsi="Arial" w:cs="Arial"/>
          <w:color w:val="000000" w:themeColor="text1"/>
        </w:rPr>
      </w:pPr>
    </w:p>
    <w:p w14:paraId="5823A791" w14:textId="77777777" w:rsidR="000C1A22" w:rsidRPr="00905DFA" w:rsidRDefault="00D4784E" w:rsidP="00D4784E">
      <w:pPr>
        <w:widowControl w:val="0"/>
        <w:numPr>
          <w:ilvl w:val="2"/>
          <w:numId w:val="2"/>
        </w:numPr>
        <w:spacing w:after="120" w:line="240" w:lineRule="auto"/>
        <w:ind w:left="1440" w:hanging="720"/>
        <w:jc w:val="both"/>
        <w:rPr>
          <w:rFonts w:ascii="Arial" w:eastAsia="MS Mincho" w:hAnsi="Arial" w:cs="Arial"/>
          <w:color w:val="000000"/>
        </w:rPr>
      </w:pPr>
      <w:r w:rsidRPr="00D4784E">
        <w:rPr>
          <w:rFonts w:ascii="Arial" w:eastAsia="MS Mincho" w:hAnsi="Arial" w:cs="Arial"/>
          <w:color w:val="000000"/>
        </w:rPr>
        <w:t>The IND holder changed from International Partnership for Microbicides (IPM) to DAIDS, resulting in several consequent changes in the document, including, for example, each place the IND Sponsor was mentioned,</w:t>
      </w:r>
      <w:r w:rsidR="007B7444">
        <w:rPr>
          <w:rFonts w:ascii="Arial" w:eastAsia="MS Mincho" w:hAnsi="Arial" w:cs="Arial"/>
          <w:color w:val="000000"/>
        </w:rPr>
        <w:t xml:space="preserve"> a change in study designation </w:t>
      </w:r>
      <w:r w:rsidR="005C44E3" w:rsidRPr="00905DFA">
        <w:rPr>
          <w:rFonts w:ascii="Arial" w:eastAsia="MS Mincho" w:hAnsi="Arial" w:cs="Arial"/>
          <w:color w:val="000000"/>
        </w:rPr>
        <w:t xml:space="preserve">from </w:t>
      </w:r>
      <w:r w:rsidR="00154E0A">
        <w:rPr>
          <w:rFonts w:ascii="Arial" w:eastAsia="MS Mincho" w:hAnsi="Arial" w:cs="Arial"/>
          <w:color w:val="000000"/>
        </w:rPr>
        <w:t>MTN-033/IPM 044 to MTN-033</w:t>
      </w:r>
      <w:r w:rsidR="000C1A22" w:rsidRPr="00905DFA">
        <w:rPr>
          <w:rFonts w:ascii="Arial" w:eastAsia="MS Mincho" w:hAnsi="Arial" w:cs="Arial"/>
          <w:color w:val="000000"/>
        </w:rPr>
        <w:t>,</w:t>
      </w:r>
      <w:r w:rsidR="00905DFA" w:rsidRPr="00905DFA">
        <w:rPr>
          <w:rFonts w:ascii="Arial" w:eastAsia="MS Mincho" w:hAnsi="Arial" w:cs="Arial"/>
          <w:color w:val="000000"/>
        </w:rPr>
        <w:t xml:space="preserve"> </w:t>
      </w:r>
      <w:r w:rsidR="007B7444">
        <w:rPr>
          <w:rFonts w:ascii="Arial" w:eastAsia="MS Mincho" w:hAnsi="Arial" w:cs="Arial"/>
          <w:color w:val="000000"/>
        </w:rPr>
        <w:t xml:space="preserve">a change in IND# from 69,022 to </w:t>
      </w:r>
      <w:r w:rsidR="00B42AF7">
        <w:rPr>
          <w:rFonts w:ascii="Arial" w:eastAsia="MS Mincho" w:hAnsi="Arial" w:cs="Arial"/>
          <w:color w:val="000000"/>
        </w:rPr>
        <w:t>136320</w:t>
      </w:r>
      <w:r w:rsidR="0076673F" w:rsidRPr="00B42AF7">
        <w:rPr>
          <w:rFonts w:ascii="Arial" w:eastAsia="MS Mincho" w:hAnsi="Arial" w:cs="Arial"/>
        </w:rPr>
        <w:t xml:space="preserve">, </w:t>
      </w:r>
      <w:r w:rsidR="00575BE1">
        <w:rPr>
          <w:rFonts w:ascii="Arial" w:eastAsia="MS Mincho" w:hAnsi="Arial" w:cs="Arial"/>
          <w:color w:val="000000"/>
        </w:rPr>
        <w:t>limitation of</w:t>
      </w:r>
      <w:r w:rsidR="007B7444">
        <w:rPr>
          <w:rFonts w:ascii="Arial" w:eastAsia="MS Mincho" w:hAnsi="Arial" w:cs="Arial"/>
          <w:color w:val="000000"/>
        </w:rPr>
        <w:t xml:space="preserve"> IPM</w:t>
      </w:r>
      <w:r w:rsidR="00575BE1">
        <w:rPr>
          <w:rFonts w:ascii="Arial" w:eastAsia="MS Mincho" w:hAnsi="Arial" w:cs="Arial"/>
          <w:color w:val="000000"/>
        </w:rPr>
        <w:t xml:space="preserve">’s </w:t>
      </w:r>
      <w:r w:rsidR="007B7444">
        <w:rPr>
          <w:rFonts w:ascii="Arial" w:eastAsia="MS Mincho" w:hAnsi="Arial" w:cs="Arial"/>
          <w:color w:val="000000"/>
        </w:rPr>
        <w:t>pro</w:t>
      </w:r>
      <w:r w:rsidR="00CE2A4C">
        <w:rPr>
          <w:rFonts w:ascii="Arial" w:eastAsia="MS Mincho" w:hAnsi="Arial" w:cs="Arial"/>
          <w:color w:val="000000"/>
        </w:rPr>
        <w:t>toc</w:t>
      </w:r>
      <w:r w:rsidR="00575BE1">
        <w:rPr>
          <w:rFonts w:ascii="Arial" w:eastAsia="MS Mincho" w:hAnsi="Arial" w:cs="Arial"/>
          <w:color w:val="000000"/>
        </w:rPr>
        <w:t>ol-designated role</w:t>
      </w:r>
      <w:r w:rsidR="0076673F">
        <w:rPr>
          <w:rFonts w:ascii="Arial" w:eastAsia="MS Mincho" w:hAnsi="Arial" w:cs="Arial"/>
          <w:color w:val="000000"/>
        </w:rPr>
        <w:t xml:space="preserve"> to </w:t>
      </w:r>
      <w:r w:rsidR="007B7444">
        <w:rPr>
          <w:rFonts w:ascii="Arial" w:eastAsia="MS Mincho" w:hAnsi="Arial" w:cs="Arial"/>
          <w:color w:val="000000"/>
        </w:rPr>
        <w:t>publication review</w:t>
      </w:r>
      <w:r w:rsidR="00575BE1">
        <w:rPr>
          <w:rFonts w:ascii="Arial" w:eastAsia="MS Mincho" w:hAnsi="Arial" w:cs="Arial"/>
          <w:color w:val="000000"/>
        </w:rPr>
        <w:t xml:space="preserve">, </w:t>
      </w:r>
      <w:r w:rsidR="009C5B86">
        <w:rPr>
          <w:rFonts w:ascii="Arial" w:eastAsia="MS Mincho" w:hAnsi="Arial" w:cs="Arial"/>
          <w:color w:val="000000"/>
        </w:rPr>
        <w:t xml:space="preserve">and </w:t>
      </w:r>
      <w:r w:rsidR="0076673F">
        <w:rPr>
          <w:rFonts w:ascii="Arial" w:eastAsia="MS Mincho" w:hAnsi="Arial" w:cs="Arial"/>
          <w:color w:val="000000"/>
        </w:rPr>
        <w:t xml:space="preserve">addition of informed consent form review to DAIDS’s </w:t>
      </w:r>
      <w:r w:rsidR="009C5B86">
        <w:rPr>
          <w:rFonts w:ascii="Arial" w:eastAsia="MS Mincho" w:hAnsi="Arial" w:cs="Arial"/>
          <w:color w:val="000000"/>
        </w:rPr>
        <w:t xml:space="preserve">protocol-designated </w:t>
      </w:r>
      <w:r w:rsidR="0076673F">
        <w:rPr>
          <w:rFonts w:ascii="Arial" w:eastAsia="MS Mincho" w:hAnsi="Arial" w:cs="Arial"/>
          <w:color w:val="000000"/>
        </w:rPr>
        <w:t>responsib</w:t>
      </w:r>
      <w:r w:rsidR="00575BE1">
        <w:rPr>
          <w:rFonts w:ascii="Arial" w:eastAsia="MS Mincho" w:hAnsi="Arial" w:cs="Arial"/>
          <w:color w:val="000000"/>
        </w:rPr>
        <w:t>i</w:t>
      </w:r>
      <w:r w:rsidR="0076673F">
        <w:rPr>
          <w:rFonts w:ascii="Arial" w:eastAsia="MS Mincho" w:hAnsi="Arial" w:cs="Arial"/>
          <w:color w:val="000000"/>
        </w:rPr>
        <w:t>lities</w:t>
      </w:r>
      <w:r w:rsidR="007B7444">
        <w:rPr>
          <w:rFonts w:ascii="Arial" w:eastAsia="MS Mincho" w:hAnsi="Arial" w:cs="Arial"/>
          <w:color w:val="000000"/>
        </w:rPr>
        <w:t>.</w:t>
      </w:r>
    </w:p>
    <w:p w14:paraId="6AE04E33" w14:textId="77777777" w:rsidR="00A76E1F" w:rsidRPr="00A76E1F" w:rsidRDefault="00A76E1F" w:rsidP="00A76E1F">
      <w:pPr>
        <w:widowControl w:val="0"/>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New, clarified, or updated data regarding DPV rings, films and gels was added, including data from FAME-02B</w:t>
      </w:r>
      <w:r w:rsidR="00B42AF7">
        <w:rPr>
          <w:rFonts w:ascii="Arial" w:eastAsia="MS Mincho" w:hAnsi="Arial" w:cs="Arial"/>
          <w:color w:val="000000"/>
        </w:rPr>
        <w:t>, IPM 032, IPM 035, IPM 036</w:t>
      </w:r>
      <w:r>
        <w:rPr>
          <w:rFonts w:ascii="Arial" w:eastAsia="Calibri" w:hAnsi="Arial" w:cs="Arial"/>
          <w:caps/>
          <w:color w:val="000000" w:themeColor="text1"/>
          <w:lang w:eastAsia="x-none"/>
        </w:rPr>
        <w:t xml:space="preserve">, </w:t>
      </w:r>
      <w:r>
        <w:rPr>
          <w:rFonts w:ascii="Arial" w:eastAsia="MS Mincho" w:hAnsi="Arial" w:cs="Arial"/>
          <w:color w:val="000000"/>
        </w:rPr>
        <w:t>recently released data from MTN-020 (ASPIRE) and IPM 027 (The Ring Study), and updated Investigator’s Brochure (IB) data.</w:t>
      </w:r>
    </w:p>
    <w:p w14:paraId="30C09F57" w14:textId="5AE476C8" w:rsidR="00FC558A" w:rsidRDefault="00CE2A4C" w:rsidP="00A76E1F">
      <w:pPr>
        <w:widowControl w:val="0"/>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The Male Genital Grading Table for Use in Microbicide Studies (Addendum 2 to the DAI</w:t>
      </w:r>
      <w:r w:rsidR="00D00CB5">
        <w:rPr>
          <w:rFonts w:ascii="Arial" w:eastAsia="MS Mincho" w:hAnsi="Arial" w:cs="Arial"/>
          <w:color w:val="000000"/>
        </w:rPr>
        <w:t>DS AE Grading Table) was added to the list of Grading Tables to be used for AE determination in this study.</w:t>
      </w:r>
    </w:p>
    <w:p w14:paraId="2E6CC0AA" w14:textId="77777777" w:rsidR="000A42DE" w:rsidRDefault="005D3321" w:rsidP="00FC558A">
      <w:pPr>
        <w:widowControl w:val="0"/>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Eligibility crit</w:t>
      </w:r>
      <w:r w:rsidR="000A42DE">
        <w:rPr>
          <w:rFonts w:ascii="Arial" w:eastAsia="MS Mincho" w:hAnsi="Arial" w:cs="Arial"/>
          <w:color w:val="000000"/>
        </w:rPr>
        <w:t>eria was edited for clarity as follows:</w:t>
      </w:r>
    </w:p>
    <w:p w14:paraId="1D27FD92" w14:textId="77777777" w:rsidR="000A42DE" w:rsidRDefault="000A42DE" w:rsidP="00177FAE">
      <w:pPr>
        <w:pStyle w:val="ListParagraph"/>
        <w:widowControl w:val="0"/>
        <w:numPr>
          <w:ilvl w:val="8"/>
          <w:numId w:val="2"/>
        </w:numPr>
        <w:spacing w:after="0" w:line="240" w:lineRule="auto"/>
        <w:ind w:left="2160" w:hanging="450"/>
        <w:jc w:val="both"/>
        <w:rPr>
          <w:rFonts w:ascii="Arial" w:eastAsia="MS Mincho" w:hAnsi="Arial" w:cs="Arial"/>
          <w:color w:val="000000"/>
        </w:rPr>
      </w:pPr>
      <w:r>
        <w:rPr>
          <w:rFonts w:ascii="Arial" w:eastAsia="MS Mincho" w:hAnsi="Arial" w:cs="Arial"/>
          <w:color w:val="000000"/>
        </w:rPr>
        <w:t>Rectal product studies added to list of prohibited co-enrollment studies</w:t>
      </w:r>
      <w:r w:rsidR="00BC7B36">
        <w:rPr>
          <w:rFonts w:ascii="Arial" w:eastAsia="MS Mincho" w:hAnsi="Arial" w:cs="Arial"/>
          <w:color w:val="000000"/>
        </w:rPr>
        <w:t>.</w:t>
      </w:r>
    </w:p>
    <w:p w14:paraId="22378C47" w14:textId="77777777" w:rsidR="000A42DE" w:rsidRDefault="000A42DE" w:rsidP="009C5B86">
      <w:pPr>
        <w:pStyle w:val="ListParagraph"/>
        <w:widowControl w:val="0"/>
        <w:numPr>
          <w:ilvl w:val="8"/>
          <w:numId w:val="2"/>
        </w:numPr>
        <w:spacing w:after="120" w:line="240" w:lineRule="auto"/>
        <w:ind w:left="2160" w:hanging="446"/>
        <w:jc w:val="both"/>
        <w:rPr>
          <w:rFonts w:ascii="Arial" w:eastAsia="MS Mincho" w:hAnsi="Arial" w:cs="Arial"/>
          <w:color w:val="000000"/>
        </w:rPr>
      </w:pPr>
      <w:r>
        <w:rPr>
          <w:rFonts w:ascii="Arial" w:eastAsia="MS Mincho" w:hAnsi="Arial" w:cs="Arial"/>
          <w:color w:val="000000"/>
        </w:rPr>
        <w:t>“Unprotected RAI” changed to “RAI without a condom”</w:t>
      </w:r>
      <w:r w:rsidR="00BC7B36">
        <w:rPr>
          <w:rFonts w:ascii="Arial" w:eastAsia="MS Mincho" w:hAnsi="Arial" w:cs="Arial"/>
          <w:color w:val="000000"/>
        </w:rPr>
        <w:t>.</w:t>
      </w:r>
    </w:p>
    <w:p w14:paraId="480D4926" w14:textId="77777777" w:rsidR="00006B0D" w:rsidRDefault="00006B0D" w:rsidP="009C5B86">
      <w:pPr>
        <w:pStyle w:val="ListParagraph"/>
        <w:widowControl w:val="0"/>
        <w:numPr>
          <w:ilvl w:val="8"/>
          <w:numId w:val="2"/>
        </w:numPr>
        <w:spacing w:after="120" w:line="240" w:lineRule="auto"/>
        <w:ind w:left="2160" w:hanging="446"/>
        <w:jc w:val="both"/>
        <w:rPr>
          <w:rFonts w:ascii="Arial" w:eastAsia="MS Mincho" w:hAnsi="Arial" w:cs="Arial"/>
          <w:color w:val="000000"/>
        </w:rPr>
      </w:pPr>
      <w:r>
        <w:rPr>
          <w:rFonts w:ascii="Arial" w:eastAsia="MS Mincho" w:hAnsi="Arial" w:cs="Arial"/>
          <w:color w:val="000000"/>
        </w:rPr>
        <w:t>Use of all CYP3A inducers and inhibitors will be prohibited, rather th</w:t>
      </w:r>
      <w:r w:rsidR="00F41186">
        <w:rPr>
          <w:rFonts w:ascii="Arial" w:eastAsia="MS Mincho" w:hAnsi="Arial" w:cs="Arial"/>
          <w:color w:val="000000"/>
        </w:rPr>
        <w:t>an excluding use of strong CYP3A</w:t>
      </w:r>
      <w:r>
        <w:rPr>
          <w:rFonts w:ascii="Arial" w:eastAsia="MS Mincho" w:hAnsi="Arial" w:cs="Arial"/>
          <w:color w:val="000000"/>
        </w:rPr>
        <w:t xml:space="preserve"> inducers and inhibitors only.</w:t>
      </w:r>
    </w:p>
    <w:p w14:paraId="40BC09FA" w14:textId="77777777" w:rsidR="00006B0D" w:rsidRPr="00006B0D" w:rsidRDefault="00006B0D" w:rsidP="00006B0D">
      <w:pPr>
        <w:pStyle w:val="ListParagraph"/>
        <w:widowControl w:val="0"/>
        <w:numPr>
          <w:ilvl w:val="8"/>
          <w:numId w:val="2"/>
        </w:numPr>
        <w:spacing w:after="120" w:line="240" w:lineRule="auto"/>
        <w:ind w:left="2160" w:hanging="446"/>
        <w:jc w:val="both"/>
        <w:rPr>
          <w:rFonts w:ascii="Arial" w:eastAsia="MS Mincho" w:hAnsi="Arial" w:cs="Arial"/>
          <w:color w:val="000000"/>
        </w:rPr>
      </w:pPr>
      <w:r>
        <w:rPr>
          <w:rFonts w:ascii="Arial" w:eastAsia="MS Mincho" w:hAnsi="Arial" w:cs="Arial"/>
          <w:color w:val="000000"/>
        </w:rPr>
        <w:lastRenderedPageBreak/>
        <w:t>Use of hormone-replacement therapy in tablet, injectable or gel form will be excluded.</w:t>
      </w:r>
    </w:p>
    <w:p w14:paraId="08D78720" w14:textId="77777777" w:rsidR="000A42DE" w:rsidRDefault="000A42DE" w:rsidP="00B42AF7">
      <w:pPr>
        <w:keepNext/>
        <w:keepLines/>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 xml:space="preserve">Study visit procedure language was edited </w:t>
      </w:r>
      <w:r w:rsidR="00D555E1">
        <w:rPr>
          <w:rFonts w:ascii="Arial" w:eastAsia="MS Mincho" w:hAnsi="Arial" w:cs="Arial"/>
          <w:color w:val="000000"/>
        </w:rPr>
        <w:t xml:space="preserve">for clarity and consistency </w:t>
      </w:r>
      <w:r>
        <w:rPr>
          <w:rFonts w:ascii="Arial" w:eastAsia="MS Mincho" w:hAnsi="Arial" w:cs="Arial"/>
          <w:color w:val="000000"/>
        </w:rPr>
        <w:t>as follows:</w:t>
      </w:r>
    </w:p>
    <w:p w14:paraId="4F679F28" w14:textId="77777777" w:rsidR="000A42DE" w:rsidRDefault="00154E0A" w:rsidP="00B42AF7">
      <w:pPr>
        <w:pStyle w:val="ListParagraph"/>
        <w:keepNext/>
        <w:keepLines/>
        <w:numPr>
          <w:ilvl w:val="8"/>
          <w:numId w:val="2"/>
        </w:numPr>
        <w:spacing w:after="0" w:line="240" w:lineRule="auto"/>
        <w:ind w:left="2160" w:hanging="450"/>
        <w:jc w:val="both"/>
        <w:rPr>
          <w:rFonts w:ascii="Arial" w:eastAsia="MS Mincho" w:hAnsi="Arial" w:cs="Arial"/>
          <w:color w:val="000000"/>
        </w:rPr>
      </w:pPr>
      <w:r>
        <w:rPr>
          <w:rFonts w:ascii="Arial" w:eastAsia="MS Mincho" w:hAnsi="Arial" w:cs="Arial"/>
          <w:color w:val="000000"/>
        </w:rPr>
        <w:t>R</w:t>
      </w:r>
      <w:r w:rsidR="00D555E1">
        <w:rPr>
          <w:rFonts w:ascii="Arial" w:eastAsia="MS Mincho" w:hAnsi="Arial" w:cs="Arial"/>
          <w:color w:val="000000"/>
        </w:rPr>
        <w:t xml:space="preserve">ectal enema effluent samples will be </w:t>
      </w:r>
      <w:r w:rsidR="00A76E1F">
        <w:rPr>
          <w:rFonts w:ascii="Arial" w:eastAsia="MS Mincho" w:hAnsi="Arial" w:cs="Arial"/>
          <w:color w:val="000000"/>
        </w:rPr>
        <w:t xml:space="preserve">collected </w:t>
      </w:r>
      <w:r w:rsidR="00D555E1">
        <w:rPr>
          <w:rFonts w:ascii="Arial" w:eastAsia="MS Mincho" w:hAnsi="Arial" w:cs="Arial"/>
          <w:color w:val="000000"/>
        </w:rPr>
        <w:t xml:space="preserve">for pharmacokinetics (PK) </w:t>
      </w:r>
      <w:r w:rsidR="00A76E1F">
        <w:rPr>
          <w:rFonts w:ascii="Arial" w:eastAsia="MS Mincho" w:hAnsi="Arial" w:cs="Arial"/>
          <w:color w:val="000000"/>
        </w:rPr>
        <w:t>as well as</w:t>
      </w:r>
      <w:r w:rsidR="00D555E1">
        <w:rPr>
          <w:rFonts w:ascii="Arial" w:eastAsia="MS Mincho" w:hAnsi="Arial" w:cs="Arial"/>
          <w:color w:val="000000"/>
        </w:rPr>
        <w:t xml:space="preserve"> pharmacodynamics (PD)</w:t>
      </w:r>
      <w:r w:rsidR="005454EE">
        <w:rPr>
          <w:rFonts w:ascii="Arial" w:eastAsia="MS Mincho" w:hAnsi="Arial" w:cs="Arial"/>
          <w:color w:val="000000"/>
        </w:rPr>
        <w:t xml:space="preserve"> at the same visits</w:t>
      </w:r>
      <w:r w:rsidR="00BC7B36">
        <w:rPr>
          <w:rFonts w:ascii="Arial" w:eastAsia="MS Mincho" w:hAnsi="Arial" w:cs="Arial"/>
          <w:color w:val="000000"/>
        </w:rPr>
        <w:t>.</w:t>
      </w:r>
    </w:p>
    <w:p w14:paraId="555194C7" w14:textId="77777777" w:rsidR="00442675" w:rsidRDefault="00442675" w:rsidP="00B42AF7">
      <w:pPr>
        <w:pStyle w:val="ListParagraph"/>
        <w:keepNext/>
        <w:keepLines/>
        <w:numPr>
          <w:ilvl w:val="8"/>
          <w:numId w:val="2"/>
        </w:numPr>
        <w:spacing w:after="120" w:line="240" w:lineRule="auto"/>
        <w:ind w:left="2160" w:hanging="446"/>
        <w:jc w:val="both"/>
        <w:rPr>
          <w:rFonts w:ascii="Arial" w:eastAsia="MS Mincho" w:hAnsi="Arial" w:cs="Arial"/>
          <w:color w:val="000000"/>
        </w:rPr>
      </w:pPr>
      <w:r>
        <w:rPr>
          <w:rFonts w:ascii="Arial" w:eastAsia="MS Mincho" w:hAnsi="Arial" w:cs="Arial"/>
          <w:color w:val="000000"/>
        </w:rPr>
        <w:t xml:space="preserve">Added asterisk (*) to physical exam weight assessment in </w:t>
      </w:r>
      <w:r w:rsidR="00154E0A">
        <w:rPr>
          <w:rFonts w:ascii="Arial" w:eastAsia="MS Mincho" w:hAnsi="Arial" w:cs="Arial"/>
          <w:color w:val="000000"/>
        </w:rPr>
        <w:t>Section 7.7</w:t>
      </w:r>
      <w:r w:rsidR="00BC7B36">
        <w:rPr>
          <w:rFonts w:ascii="Arial" w:eastAsia="MS Mincho" w:hAnsi="Arial" w:cs="Arial"/>
          <w:color w:val="000000"/>
        </w:rPr>
        <w:t>.</w:t>
      </w:r>
    </w:p>
    <w:p w14:paraId="35C56891" w14:textId="77777777" w:rsidR="0076673F" w:rsidRDefault="00BC7B36" w:rsidP="00A76E1F">
      <w:pPr>
        <w:widowControl w:val="0"/>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Edits to Section 11.1 were made to change t</w:t>
      </w:r>
      <w:r w:rsidR="0076673F">
        <w:rPr>
          <w:rFonts w:ascii="Arial" w:eastAsia="MS Mincho" w:hAnsi="Arial" w:cs="Arial"/>
          <w:color w:val="000000"/>
        </w:rPr>
        <w:t>he data management system used in t</w:t>
      </w:r>
      <w:r>
        <w:rPr>
          <w:rFonts w:ascii="Arial" w:eastAsia="MS Mincho" w:hAnsi="Arial" w:cs="Arial"/>
          <w:color w:val="000000"/>
        </w:rPr>
        <w:t xml:space="preserve">his study </w:t>
      </w:r>
      <w:r w:rsidR="0076673F">
        <w:rPr>
          <w:rFonts w:ascii="Arial" w:eastAsia="MS Mincho" w:hAnsi="Arial" w:cs="Arial"/>
          <w:color w:val="000000"/>
        </w:rPr>
        <w:t>from DataFax to Medidata Rave EDC</w:t>
      </w:r>
      <w:r w:rsidR="00575BE1">
        <w:rPr>
          <w:rFonts w:ascii="Arial" w:eastAsia="MS Mincho" w:hAnsi="Arial" w:cs="Arial"/>
          <w:color w:val="000000"/>
        </w:rPr>
        <w:t>, an</w:t>
      </w:r>
      <w:r w:rsidR="0076673F">
        <w:rPr>
          <w:rFonts w:ascii="Arial" w:eastAsia="MS Mincho" w:hAnsi="Arial" w:cs="Arial"/>
          <w:color w:val="000000"/>
        </w:rPr>
        <w:t xml:space="preserve"> electronic data capture system</w:t>
      </w:r>
      <w:r w:rsidRPr="00BC7B36">
        <w:rPr>
          <w:rFonts w:ascii="Arial" w:hAnsi="Arial" w:cs="Arial"/>
          <w:color w:val="000000" w:themeColor="text1"/>
        </w:rPr>
        <w:t xml:space="preserve"> </w:t>
      </w:r>
      <w:r w:rsidRPr="003A6CBF">
        <w:rPr>
          <w:rFonts w:ascii="Arial" w:hAnsi="Arial" w:cs="Arial"/>
          <w:color w:val="000000" w:themeColor="text1"/>
        </w:rPr>
        <w:t>compliant with US-EU Safe Harbor, the EU Data Protection Directive 95/46/EC, ICH GCP and CFR requirements</w:t>
      </w:r>
      <w:r w:rsidR="0076673F">
        <w:rPr>
          <w:rFonts w:ascii="Arial" w:eastAsia="MS Mincho" w:hAnsi="Arial" w:cs="Arial"/>
          <w:color w:val="000000"/>
        </w:rPr>
        <w:t>.</w:t>
      </w:r>
    </w:p>
    <w:p w14:paraId="71494715" w14:textId="1AA1485E" w:rsidR="007C1729" w:rsidRDefault="007C1729" w:rsidP="00A76E1F">
      <w:pPr>
        <w:widowControl w:val="0"/>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 xml:space="preserve">Participant confidentiality language </w:t>
      </w:r>
      <w:r w:rsidR="00530CE4">
        <w:rPr>
          <w:rFonts w:ascii="Arial" w:eastAsia="MS Mincho" w:hAnsi="Arial" w:cs="Arial"/>
          <w:color w:val="000000"/>
        </w:rPr>
        <w:t xml:space="preserve">in Section 12, Section 13 and Appendix III </w:t>
      </w:r>
      <w:r>
        <w:rPr>
          <w:rFonts w:ascii="Arial" w:eastAsia="MS Mincho" w:hAnsi="Arial" w:cs="Arial"/>
          <w:color w:val="000000"/>
        </w:rPr>
        <w:t>was updated to explicitly allow international r</w:t>
      </w:r>
      <w:r w:rsidR="00530CE4">
        <w:rPr>
          <w:rFonts w:ascii="Arial" w:eastAsia="MS Mincho" w:hAnsi="Arial" w:cs="Arial"/>
          <w:color w:val="000000"/>
        </w:rPr>
        <w:t>egulatory authorities to review</w:t>
      </w:r>
      <w:r>
        <w:rPr>
          <w:rFonts w:ascii="Arial" w:eastAsia="MS Mincho" w:hAnsi="Arial" w:cs="Arial"/>
          <w:color w:val="000000"/>
        </w:rPr>
        <w:t xml:space="preserve"> study-related documents.</w:t>
      </w:r>
    </w:p>
    <w:p w14:paraId="2338EA9D" w14:textId="77777777" w:rsidR="005D3321" w:rsidRDefault="005D3321" w:rsidP="00A76E1F">
      <w:pPr>
        <w:widowControl w:val="0"/>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The In</w:t>
      </w:r>
      <w:r w:rsidR="00154E0A">
        <w:rPr>
          <w:rFonts w:ascii="Arial" w:eastAsia="MS Mincho" w:hAnsi="Arial" w:cs="Arial"/>
          <w:color w:val="000000"/>
        </w:rPr>
        <w:t>vestigator Signature Form (p. 17</w:t>
      </w:r>
      <w:r>
        <w:rPr>
          <w:rFonts w:ascii="Arial" w:eastAsia="MS Mincho" w:hAnsi="Arial" w:cs="Arial"/>
          <w:color w:val="000000"/>
        </w:rPr>
        <w:t>) was edited to include newly required language as per DAIDS’s updated policy.</w:t>
      </w:r>
    </w:p>
    <w:p w14:paraId="598D57C9" w14:textId="77777777" w:rsidR="009047FD" w:rsidRPr="00D00CB5" w:rsidRDefault="009047FD" w:rsidP="009047FD">
      <w:pPr>
        <w:widowControl w:val="0"/>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 xml:space="preserve">The protocol has been updated to refer to the most recent revision of the </w:t>
      </w:r>
      <w:r w:rsidRPr="009047FD">
        <w:rPr>
          <w:rFonts w:ascii="Arial" w:eastAsia="MS Mincho" w:hAnsi="Arial" w:cs="Arial"/>
          <w:color w:val="000000"/>
        </w:rPr>
        <w:t>DAIDS Table for Grading Adult and Pediatric Adverse Events</w:t>
      </w:r>
      <w:r>
        <w:rPr>
          <w:rFonts w:ascii="Arial" w:eastAsia="MS Mincho" w:hAnsi="Arial" w:cs="Arial"/>
          <w:color w:val="000000"/>
        </w:rPr>
        <w:t xml:space="preserve"> (now </w:t>
      </w:r>
      <w:r w:rsidR="00B42AF7">
        <w:rPr>
          <w:rFonts w:ascii="Arial" w:eastAsia="MS Mincho" w:hAnsi="Arial" w:cs="Arial"/>
          <w:color w:val="000000"/>
        </w:rPr>
        <w:t xml:space="preserve">Corrected </w:t>
      </w:r>
      <w:r>
        <w:rPr>
          <w:rFonts w:ascii="Arial" w:eastAsia="MS Mincho" w:hAnsi="Arial" w:cs="Arial"/>
          <w:color w:val="000000"/>
        </w:rPr>
        <w:t xml:space="preserve">Version 2.1, </w:t>
      </w:r>
      <w:r w:rsidR="00B42AF7">
        <w:rPr>
          <w:rFonts w:ascii="Arial" w:eastAsia="MS Mincho" w:hAnsi="Arial" w:cs="Arial"/>
          <w:color w:val="000000"/>
        </w:rPr>
        <w:t>July</w:t>
      </w:r>
      <w:r>
        <w:rPr>
          <w:rFonts w:ascii="Arial" w:eastAsia="MS Mincho" w:hAnsi="Arial" w:cs="Arial"/>
          <w:color w:val="000000"/>
        </w:rPr>
        <w:t xml:space="preserve"> 2017)</w:t>
      </w:r>
      <w:r w:rsidR="005F4239">
        <w:rPr>
          <w:rFonts w:ascii="Arial" w:eastAsia="MS Mincho" w:hAnsi="Arial" w:cs="Arial"/>
          <w:color w:val="000000"/>
        </w:rPr>
        <w:t>.</w:t>
      </w:r>
    </w:p>
    <w:p w14:paraId="1E6D9030" w14:textId="77777777" w:rsidR="00942630" w:rsidRPr="00575BE1" w:rsidRDefault="00F02FEE" w:rsidP="00A76E1F">
      <w:pPr>
        <w:widowControl w:val="0"/>
        <w:numPr>
          <w:ilvl w:val="2"/>
          <w:numId w:val="2"/>
        </w:numPr>
        <w:spacing w:after="120" w:line="240" w:lineRule="auto"/>
        <w:ind w:left="1440" w:hanging="720"/>
        <w:jc w:val="both"/>
        <w:rPr>
          <w:rFonts w:ascii="Arial" w:eastAsia="MS Mincho" w:hAnsi="Arial" w:cs="Arial"/>
          <w:color w:val="000000"/>
        </w:rPr>
      </w:pPr>
      <w:r>
        <w:rPr>
          <w:rFonts w:ascii="Arial" w:eastAsia="MS Mincho" w:hAnsi="Arial" w:cs="Arial"/>
          <w:color w:val="000000"/>
        </w:rPr>
        <w:t xml:space="preserve">Other information has been added </w:t>
      </w:r>
      <w:r w:rsidR="0071401C">
        <w:rPr>
          <w:rFonts w:ascii="Arial" w:eastAsia="MS Mincho" w:hAnsi="Arial" w:cs="Arial"/>
          <w:color w:val="000000"/>
        </w:rPr>
        <w:t xml:space="preserve">or updated </w:t>
      </w:r>
      <w:r>
        <w:rPr>
          <w:rFonts w:ascii="Arial" w:eastAsia="MS Mincho" w:hAnsi="Arial" w:cs="Arial"/>
          <w:color w:val="000000"/>
        </w:rPr>
        <w:t>for clarity</w:t>
      </w:r>
      <w:r w:rsidR="008023BC">
        <w:rPr>
          <w:rFonts w:ascii="Arial" w:eastAsia="MS Mincho" w:hAnsi="Arial" w:cs="Arial"/>
          <w:color w:val="000000"/>
        </w:rPr>
        <w:t xml:space="preserve"> and/or consistency</w:t>
      </w:r>
      <w:r w:rsidR="000203D1">
        <w:rPr>
          <w:rFonts w:ascii="Arial" w:eastAsia="MS Mincho" w:hAnsi="Arial" w:cs="Arial"/>
          <w:color w:val="000000"/>
        </w:rPr>
        <w:t>:</w:t>
      </w:r>
    </w:p>
    <w:p w14:paraId="374C4817" w14:textId="4C65ACFC" w:rsidR="005D12EE" w:rsidRDefault="005D12EE" w:rsidP="005D12EE">
      <w:pPr>
        <w:pStyle w:val="ListParagraph"/>
        <w:numPr>
          <w:ilvl w:val="8"/>
          <w:numId w:val="2"/>
        </w:numPr>
        <w:tabs>
          <w:tab w:val="left" w:pos="2160"/>
        </w:tabs>
        <w:spacing w:after="0"/>
        <w:ind w:left="2160" w:hanging="450"/>
        <w:jc w:val="both"/>
        <w:rPr>
          <w:rFonts w:ascii="Arial" w:eastAsia="MS Mincho" w:hAnsi="Arial" w:cs="Arial"/>
          <w:color w:val="000000"/>
        </w:rPr>
      </w:pPr>
      <w:r>
        <w:rPr>
          <w:rFonts w:ascii="Arial" w:eastAsia="MS Mincho" w:hAnsi="Arial" w:cs="Arial"/>
          <w:color w:val="000000"/>
        </w:rPr>
        <w:t xml:space="preserve">Section 6.2 was updated to clarify that participants using the coital simulation device </w:t>
      </w:r>
      <w:r w:rsidRPr="005D12EE">
        <w:rPr>
          <w:rFonts w:ascii="Arial" w:eastAsia="MS Mincho" w:hAnsi="Arial" w:cs="Arial"/>
          <w:color w:val="000000"/>
        </w:rPr>
        <w:t>can</w:t>
      </w:r>
      <w:r>
        <w:rPr>
          <w:rFonts w:ascii="Arial" w:eastAsia="MS Mincho" w:hAnsi="Arial" w:cs="Arial"/>
          <w:color w:val="000000"/>
        </w:rPr>
        <w:t xml:space="preserve"> apply the gel onto </w:t>
      </w:r>
      <w:r w:rsidRPr="005D12EE">
        <w:rPr>
          <w:rFonts w:ascii="Arial" w:eastAsia="MS Mincho" w:hAnsi="Arial" w:cs="Arial"/>
          <w:color w:val="000000"/>
        </w:rPr>
        <w:t>the device, the anus</w:t>
      </w:r>
      <w:r>
        <w:rPr>
          <w:rFonts w:ascii="Arial" w:eastAsia="MS Mincho" w:hAnsi="Arial" w:cs="Arial"/>
          <w:color w:val="000000"/>
        </w:rPr>
        <w:t>,</w:t>
      </w:r>
      <w:r w:rsidRPr="005D12EE">
        <w:rPr>
          <w:rFonts w:ascii="Arial" w:eastAsia="MS Mincho" w:hAnsi="Arial" w:cs="Arial"/>
          <w:color w:val="000000"/>
        </w:rPr>
        <w:t xml:space="preserve"> or both</w:t>
      </w:r>
      <w:r>
        <w:rPr>
          <w:rFonts w:ascii="Arial" w:eastAsia="MS Mincho" w:hAnsi="Arial" w:cs="Arial"/>
          <w:color w:val="000000"/>
        </w:rPr>
        <w:t>.</w:t>
      </w:r>
    </w:p>
    <w:p w14:paraId="6C4156EE" w14:textId="65D4FF1F" w:rsidR="004B0EA0" w:rsidRDefault="004B0EA0" w:rsidP="005D12EE">
      <w:pPr>
        <w:pStyle w:val="ListParagraph"/>
        <w:numPr>
          <w:ilvl w:val="8"/>
          <w:numId w:val="2"/>
        </w:numPr>
        <w:tabs>
          <w:tab w:val="left" w:pos="2160"/>
        </w:tabs>
        <w:spacing w:after="0"/>
        <w:ind w:left="2160" w:hanging="450"/>
        <w:jc w:val="both"/>
        <w:rPr>
          <w:rFonts w:ascii="Arial" w:eastAsia="MS Mincho" w:hAnsi="Arial" w:cs="Arial"/>
          <w:color w:val="000000"/>
        </w:rPr>
      </w:pPr>
      <w:r>
        <w:rPr>
          <w:rFonts w:ascii="Arial" w:eastAsia="MS Mincho" w:hAnsi="Arial" w:cs="Arial"/>
          <w:color w:val="000000"/>
        </w:rPr>
        <w:t>“Anogenital STIs” changed to “Anorectal STIs” in Section 9.3.</w:t>
      </w:r>
    </w:p>
    <w:p w14:paraId="21B0CBF8" w14:textId="77777777" w:rsidR="00006B0D" w:rsidRPr="00006B0D" w:rsidRDefault="00006B0D" w:rsidP="005D12EE">
      <w:pPr>
        <w:pStyle w:val="ListParagraph"/>
        <w:numPr>
          <w:ilvl w:val="8"/>
          <w:numId w:val="2"/>
        </w:numPr>
        <w:tabs>
          <w:tab w:val="left" w:pos="2160"/>
        </w:tabs>
        <w:spacing w:after="0"/>
        <w:ind w:left="2160" w:hanging="450"/>
        <w:jc w:val="both"/>
        <w:rPr>
          <w:rFonts w:ascii="Arial" w:eastAsia="MS Mincho" w:hAnsi="Arial" w:cs="Arial"/>
          <w:color w:val="000000"/>
        </w:rPr>
      </w:pPr>
      <w:r w:rsidRPr="00006B0D">
        <w:rPr>
          <w:rFonts w:ascii="Arial" w:eastAsia="MS Mincho" w:hAnsi="Arial" w:cs="Arial"/>
          <w:color w:val="000000"/>
        </w:rPr>
        <w:t>“Reported use of system</w:t>
      </w:r>
      <w:bookmarkStart w:id="2" w:name="_GoBack"/>
      <w:bookmarkEnd w:id="2"/>
      <w:r w:rsidRPr="00006B0D">
        <w:rPr>
          <w:rFonts w:ascii="Arial" w:eastAsia="MS Mincho" w:hAnsi="Arial" w:cs="Arial"/>
          <w:color w:val="000000"/>
        </w:rPr>
        <w:t>ic immunomodulatory medications” and “reported use of PEP or PrEP” have been removed from Section 9.3.</w:t>
      </w:r>
    </w:p>
    <w:p w14:paraId="2F2616DD" w14:textId="7CB9F5C6" w:rsidR="005D12EE" w:rsidRDefault="005D12EE" w:rsidP="005D12EE">
      <w:pPr>
        <w:pStyle w:val="ListParagraph"/>
        <w:numPr>
          <w:ilvl w:val="8"/>
          <w:numId w:val="2"/>
        </w:numPr>
        <w:tabs>
          <w:tab w:val="left" w:pos="2160"/>
        </w:tabs>
        <w:spacing w:after="0"/>
        <w:ind w:left="2160" w:hanging="450"/>
        <w:jc w:val="both"/>
        <w:rPr>
          <w:rFonts w:ascii="Arial" w:eastAsia="MS Mincho" w:hAnsi="Arial" w:cs="Arial"/>
          <w:color w:val="000000"/>
        </w:rPr>
      </w:pPr>
      <w:r>
        <w:rPr>
          <w:rFonts w:ascii="Arial" w:eastAsia="MS Mincho" w:hAnsi="Arial" w:cs="Arial"/>
          <w:color w:val="000000"/>
        </w:rPr>
        <w:t>Section 10.4 was updated to include the timing of sample collection at dosing visits in the description of the randomization plan.</w:t>
      </w:r>
    </w:p>
    <w:p w14:paraId="168DA4F7" w14:textId="5718ABC4" w:rsidR="000203D1" w:rsidRDefault="004B0EA0" w:rsidP="005D12EE">
      <w:pPr>
        <w:pStyle w:val="ListParagraph"/>
        <w:numPr>
          <w:ilvl w:val="8"/>
          <w:numId w:val="2"/>
        </w:numPr>
        <w:tabs>
          <w:tab w:val="left" w:pos="2160"/>
        </w:tabs>
        <w:spacing w:after="0"/>
        <w:ind w:left="2160" w:hanging="450"/>
        <w:jc w:val="both"/>
        <w:rPr>
          <w:rFonts w:ascii="Arial" w:eastAsia="MS Mincho" w:hAnsi="Arial" w:cs="Arial"/>
          <w:color w:val="000000"/>
        </w:rPr>
      </w:pPr>
      <w:r>
        <w:rPr>
          <w:rFonts w:ascii="Arial" w:eastAsia="MS Mincho" w:hAnsi="Arial" w:cs="Arial"/>
          <w:color w:val="000000"/>
        </w:rPr>
        <w:t>Risk language for p</w:t>
      </w:r>
      <w:r w:rsidR="00575BE1">
        <w:rPr>
          <w:rFonts w:ascii="Arial" w:eastAsia="MS Mincho" w:hAnsi="Arial" w:cs="Arial"/>
          <w:color w:val="000000"/>
        </w:rPr>
        <w:t xml:space="preserve">hlebotomy and rectal biopsy collection </w:t>
      </w:r>
      <w:r w:rsidR="00BC7B36">
        <w:rPr>
          <w:rFonts w:ascii="Arial" w:eastAsia="MS Mincho" w:hAnsi="Arial" w:cs="Arial"/>
          <w:color w:val="000000"/>
        </w:rPr>
        <w:t>was</w:t>
      </w:r>
      <w:r>
        <w:rPr>
          <w:rFonts w:ascii="Arial" w:eastAsia="MS Mincho" w:hAnsi="Arial" w:cs="Arial"/>
          <w:color w:val="000000"/>
        </w:rPr>
        <w:t xml:space="preserve"> updated </w:t>
      </w:r>
      <w:r w:rsidR="00575BE1">
        <w:rPr>
          <w:rFonts w:ascii="Arial" w:eastAsia="MS Mincho" w:hAnsi="Arial" w:cs="Arial"/>
          <w:color w:val="000000"/>
        </w:rPr>
        <w:t>in Section 13.4.1</w:t>
      </w:r>
      <w:r w:rsidR="00530CE4">
        <w:rPr>
          <w:rFonts w:ascii="Arial" w:eastAsia="MS Mincho" w:hAnsi="Arial" w:cs="Arial"/>
          <w:color w:val="000000"/>
        </w:rPr>
        <w:t xml:space="preserve"> and Appendix III</w:t>
      </w:r>
      <w:r w:rsidR="000F3A20">
        <w:rPr>
          <w:rFonts w:ascii="Arial" w:eastAsia="MS Mincho" w:hAnsi="Arial" w:cs="Arial"/>
          <w:color w:val="000000"/>
        </w:rPr>
        <w:t>, and redundant rectal biopsy collection language was deleted</w:t>
      </w:r>
      <w:r>
        <w:rPr>
          <w:rFonts w:ascii="Arial" w:eastAsia="MS Mincho" w:hAnsi="Arial" w:cs="Arial"/>
          <w:color w:val="000000"/>
        </w:rPr>
        <w:t>.</w:t>
      </w:r>
    </w:p>
    <w:p w14:paraId="688260E2" w14:textId="42633848" w:rsidR="005C33BA" w:rsidRDefault="005C33BA" w:rsidP="005D12EE">
      <w:pPr>
        <w:pStyle w:val="ListParagraph"/>
        <w:numPr>
          <w:ilvl w:val="8"/>
          <w:numId w:val="2"/>
        </w:numPr>
        <w:tabs>
          <w:tab w:val="left" w:pos="2160"/>
        </w:tabs>
        <w:spacing w:after="0"/>
        <w:ind w:left="2160" w:hanging="450"/>
        <w:jc w:val="both"/>
        <w:rPr>
          <w:rFonts w:ascii="Arial" w:eastAsia="MS Mincho" w:hAnsi="Arial" w:cs="Arial"/>
          <w:color w:val="000000"/>
        </w:rPr>
      </w:pPr>
      <w:r>
        <w:rPr>
          <w:rFonts w:ascii="Arial" w:eastAsia="MS Mincho" w:hAnsi="Arial" w:cs="Arial"/>
          <w:color w:val="000000"/>
        </w:rPr>
        <w:t xml:space="preserve">Risk language for dapivirine gel was updated in Appendix III </w:t>
      </w:r>
      <w:r w:rsidR="00A60A68">
        <w:rPr>
          <w:rFonts w:ascii="Arial" w:eastAsia="MS Mincho" w:hAnsi="Arial" w:cs="Arial"/>
          <w:color w:val="000000"/>
        </w:rPr>
        <w:t xml:space="preserve">and Section 13.4.1 </w:t>
      </w:r>
      <w:r w:rsidR="009D50E3">
        <w:rPr>
          <w:rFonts w:ascii="Arial" w:eastAsia="MS Mincho" w:hAnsi="Arial" w:cs="Arial"/>
          <w:color w:val="000000"/>
        </w:rPr>
        <w:t xml:space="preserve">for consistency between the two sections and </w:t>
      </w:r>
      <w:r>
        <w:rPr>
          <w:rFonts w:ascii="Arial" w:eastAsia="MS Mincho" w:hAnsi="Arial" w:cs="Arial"/>
          <w:color w:val="000000"/>
        </w:rPr>
        <w:t xml:space="preserve">to coincide with risk language </w:t>
      </w:r>
      <w:r w:rsidR="00BC7652">
        <w:rPr>
          <w:rFonts w:ascii="Arial" w:eastAsia="MS Mincho" w:hAnsi="Arial" w:cs="Arial"/>
          <w:color w:val="000000"/>
        </w:rPr>
        <w:t>in MTN-026, another</w:t>
      </w:r>
      <w:r w:rsidR="00FC558A">
        <w:rPr>
          <w:rFonts w:ascii="Arial" w:eastAsia="MS Mincho" w:hAnsi="Arial" w:cs="Arial"/>
          <w:color w:val="000000"/>
        </w:rPr>
        <w:t xml:space="preserve"> Phase 1 study evaluating the same gel formulation as MTN-033.</w:t>
      </w:r>
    </w:p>
    <w:p w14:paraId="52FE503A" w14:textId="77777777" w:rsidR="00A70C48" w:rsidRDefault="00A70C48" w:rsidP="00A70C48">
      <w:pPr>
        <w:widowControl w:val="0"/>
        <w:spacing w:after="0" w:line="240" w:lineRule="auto"/>
        <w:ind w:left="720"/>
        <w:jc w:val="both"/>
        <w:rPr>
          <w:rFonts w:ascii="Arial" w:eastAsia="MS Mincho" w:hAnsi="Arial" w:cs="Arial"/>
          <w:color w:val="000000"/>
        </w:rPr>
      </w:pPr>
    </w:p>
    <w:p w14:paraId="01589944" w14:textId="77777777" w:rsidR="00602E03" w:rsidRPr="00602E03" w:rsidRDefault="00602E03" w:rsidP="00A70C48">
      <w:pPr>
        <w:widowControl w:val="0"/>
        <w:spacing w:after="0" w:line="240" w:lineRule="auto"/>
        <w:ind w:left="720"/>
        <w:jc w:val="both"/>
        <w:rPr>
          <w:rFonts w:ascii="Arial" w:eastAsia="MS Mincho" w:hAnsi="Arial" w:cs="Arial"/>
          <w:color w:val="000000"/>
        </w:rPr>
      </w:pPr>
      <w:r w:rsidRPr="00602E03">
        <w:rPr>
          <w:rFonts w:ascii="Arial" w:eastAsia="MS Mincho" w:hAnsi="Arial" w:cs="Arial"/>
          <w:color w:val="000000"/>
        </w:rPr>
        <w:t xml:space="preserve">Other minor updates, corrections, and </w:t>
      </w:r>
      <w:r w:rsidR="00D70582">
        <w:rPr>
          <w:rFonts w:ascii="Arial" w:eastAsia="MS Mincho" w:hAnsi="Arial" w:cs="Arial"/>
          <w:color w:val="000000"/>
        </w:rPr>
        <w:t xml:space="preserve">clarifications are </w:t>
      </w:r>
      <w:r w:rsidR="00126482">
        <w:rPr>
          <w:rFonts w:ascii="Arial" w:eastAsia="MS Mincho" w:hAnsi="Arial" w:cs="Arial"/>
          <w:color w:val="000000"/>
        </w:rPr>
        <w:t xml:space="preserve">also </w:t>
      </w:r>
      <w:r w:rsidR="00D70582">
        <w:rPr>
          <w:rFonts w:ascii="Arial" w:eastAsia="MS Mincho" w:hAnsi="Arial" w:cs="Arial"/>
          <w:color w:val="000000"/>
        </w:rPr>
        <w:t>incorporated</w:t>
      </w:r>
      <w:r w:rsidR="00126482">
        <w:rPr>
          <w:rFonts w:ascii="Arial" w:eastAsia="MS Mincho" w:hAnsi="Arial" w:cs="Arial"/>
          <w:color w:val="000000"/>
        </w:rPr>
        <w:t xml:space="preserve"> into the document</w:t>
      </w:r>
      <w:r w:rsidR="00A76E1F">
        <w:rPr>
          <w:rFonts w:ascii="Arial" w:eastAsia="MS Mincho" w:hAnsi="Arial" w:cs="Arial"/>
          <w:color w:val="000000"/>
        </w:rPr>
        <w:t>, including update of website addresses for NIAID and DAIDS</w:t>
      </w:r>
      <w:r w:rsidR="000F3A20">
        <w:rPr>
          <w:rFonts w:ascii="Arial" w:eastAsia="MS Mincho" w:hAnsi="Arial" w:cs="Arial"/>
          <w:color w:val="000000"/>
        </w:rPr>
        <w:t>, update of the Protocol Team Roster,</w:t>
      </w:r>
      <w:r w:rsidR="009047FD">
        <w:rPr>
          <w:rFonts w:ascii="Arial" w:eastAsia="MS Mincho" w:hAnsi="Arial" w:cs="Arial"/>
          <w:color w:val="000000"/>
        </w:rPr>
        <w:t xml:space="preserve"> and </w:t>
      </w:r>
      <w:r w:rsidR="000F3A20">
        <w:rPr>
          <w:rFonts w:ascii="Arial" w:eastAsia="MS Mincho" w:hAnsi="Arial" w:cs="Arial"/>
          <w:color w:val="000000"/>
        </w:rPr>
        <w:t xml:space="preserve">update of </w:t>
      </w:r>
      <w:r w:rsidR="009047FD">
        <w:rPr>
          <w:rFonts w:ascii="Arial" w:eastAsia="MS Mincho" w:hAnsi="Arial" w:cs="Arial"/>
          <w:color w:val="000000"/>
        </w:rPr>
        <w:t xml:space="preserve">protocol document </w:t>
      </w:r>
      <w:r w:rsidR="000F3A20">
        <w:rPr>
          <w:rFonts w:ascii="Arial" w:eastAsia="MS Mincho" w:hAnsi="Arial" w:cs="Arial"/>
          <w:color w:val="000000"/>
        </w:rPr>
        <w:t xml:space="preserve">formatting </w:t>
      </w:r>
      <w:r w:rsidR="009047FD">
        <w:rPr>
          <w:rFonts w:ascii="Arial" w:eastAsia="MS Mincho" w:hAnsi="Arial" w:cs="Arial"/>
          <w:color w:val="000000"/>
        </w:rPr>
        <w:t>to meet DAIDS-preferred Electronic Common Technical Document (eCTD) guidelines</w:t>
      </w:r>
      <w:r w:rsidR="00D70582">
        <w:rPr>
          <w:rFonts w:ascii="Arial" w:eastAsia="MS Mincho" w:hAnsi="Arial" w:cs="Arial"/>
          <w:color w:val="000000"/>
        </w:rPr>
        <w:t>.</w:t>
      </w:r>
    </w:p>
    <w:p w14:paraId="758E1938" w14:textId="77777777" w:rsidR="00D4481D" w:rsidRPr="00B7703B" w:rsidRDefault="00D4481D" w:rsidP="00617B16">
      <w:pPr>
        <w:widowControl w:val="0"/>
        <w:spacing w:after="0" w:line="240" w:lineRule="auto"/>
        <w:contextualSpacing/>
        <w:rPr>
          <w:rFonts w:ascii="Arial" w:hAnsi="Arial" w:cs="Arial"/>
          <w:color w:val="000000" w:themeColor="text1"/>
        </w:rPr>
      </w:pPr>
    </w:p>
    <w:sectPr w:rsidR="00D4481D" w:rsidRPr="00B7703B" w:rsidSect="00126482">
      <w:headerReference w:type="even" r:id="rId11"/>
      <w:headerReference w:type="default" r:id="rId12"/>
      <w:footerReference w:type="default" r:id="rId13"/>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9CDA1" w14:textId="77777777" w:rsidR="006F0E16" w:rsidRDefault="006F0E16" w:rsidP="008A11F1">
      <w:pPr>
        <w:spacing w:after="0" w:line="240" w:lineRule="auto"/>
      </w:pPr>
      <w:r>
        <w:separator/>
      </w:r>
    </w:p>
  </w:endnote>
  <w:endnote w:type="continuationSeparator" w:id="0">
    <w:p w14:paraId="54ED98F1" w14:textId="77777777" w:rsidR="006F0E16" w:rsidRDefault="006F0E16" w:rsidP="008A11F1">
      <w:pPr>
        <w:spacing w:after="0" w:line="240" w:lineRule="auto"/>
      </w:pPr>
      <w:r>
        <w:continuationSeparator/>
      </w:r>
    </w:p>
  </w:endnote>
  <w:endnote w:type="continuationNotice" w:id="1">
    <w:p w14:paraId="4344FF1E" w14:textId="77777777" w:rsidR="006F0E16" w:rsidRDefault="006F0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906E" w14:textId="010A2917" w:rsidR="008A5DDC" w:rsidRPr="008C57AA" w:rsidRDefault="005F4239" w:rsidP="00D4481D">
    <w:pPr>
      <w:pStyle w:val="Footer"/>
      <w:tabs>
        <w:tab w:val="clear" w:pos="4680"/>
        <w:tab w:val="center" w:pos="4860"/>
      </w:tabs>
    </w:pPr>
    <w:r>
      <w:rPr>
        <w:rFonts w:ascii="Arial" w:hAnsi="Arial" w:cs="Arial"/>
      </w:rPr>
      <w:t>MTN-033</w:t>
    </w:r>
    <w:r w:rsidR="008A5DDC" w:rsidRPr="008C57AA">
      <w:rPr>
        <w:rFonts w:ascii="Arial" w:hAnsi="Arial" w:cs="Arial"/>
      </w:rPr>
      <w:tab/>
    </w:r>
    <w:r w:rsidR="00A86046">
      <w:rPr>
        <w:rFonts w:ascii="Arial" w:hAnsi="Arial" w:cs="Arial"/>
      </w:rPr>
      <w:t>December 8</w:t>
    </w:r>
    <w:r w:rsidR="008023BC">
      <w:rPr>
        <w:rFonts w:ascii="Arial" w:hAnsi="Arial" w:cs="Arial"/>
      </w:rPr>
      <w:t>, 2017</w:t>
    </w:r>
    <w:r w:rsidR="008A5DDC" w:rsidRPr="008C57AA">
      <w:tab/>
    </w:r>
    <w:r w:rsidR="008A5DDC" w:rsidRPr="008C57AA">
      <w:rPr>
        <w:rFonts w:ascii="Arial" w:hAnsi="Arial" w:cs="Arial"/>
      </w:rPr>
      <w:fldChar w:fldCharType="begin"/>
    </w:r>
    <w:r w:rsidR="008A5DDC" w:rsidRPr="008C57AA">
      <w:rPr>
        <w:rFonts w:ascii="Arial" w:hAnsi="Arial" w:cs="Arial"/>
      </w:rPr>
      <w:instrText xml:space="preserve"> PAGE   \* MERGEFORMAT </w:instrText>
    </w:r>
    <w:r w:rsidR="008A5DDC" w:rsidRPr="008C57AA">
      <w:rPr>
        <w:rFonts w:ascii="Arial" w:hAnsi="Arial" w:cs="Arial"/>
      </w:rPr>
      <w:fldChar w:fldCharType="separate"/>
    </w:r>
    <w:r w:rsidR="00A86046">
      <w:rPr>
        <w:rFonts w:ascii="Arial" w:hAnsi="Arial" w:cs="Arial"/>
        <w:noProof/>
      </w:rPr>
      <w:t>2</w:t>
    </w:r>
    <w:r w:rsidR="008A5DDC" w:rsidRPr="008C57AA">
      <w:rPr>
        <w:rFonts w:ascii="Arial" w:hAnsi="Arial" w:cs="Arial"/>
      </w:rPr>
      <w:fldChar w:fldCharType="end"/>
    </w:r>
  </w:p>
  <w:p w14:paraId="01C39D90" w14:textId="77777777" w:rsidR="008A5DDC" w:rsidRDefault="008A5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0C99" w14:textId="77777777" w:rsidR="006F0E16" w:rsidRDefault="006F0E16" w:rsidP="008A11F1">
      <w:pPr>
        <w:spacing w:after="0" w:line="240" w:lineRule="auto"/>
      </w:pPr>
      <w:r>
        <w:separator/>
      </w:r>
    </w:p>
  </w:footnote>
  <w:footnote w:type="continuationSeparator" w:id="0">
    <w:p w14:paraId="750AF712" w14:textId="77777777" w:rsidR="006F0E16" w:rsidRDefault="006F0E16" w:rsidP="008A11F1">
      <w:pPr>
        <w:spacing w:after="0" w:line="240" w:lineRule="auto"/>
      </w:pPr>
      <w:r>
        <w:continuationSeparator/>
      </w:r>
    </w:p>
  </w:footnote>
  <w:footnote w:type="continuationNotice" w:id="1">
    <w:p w14:paraId="0A8DABCB" w14:textId="77777777" w:rsidR="006F0E16" w:rsidRDefault="006F0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C410" w14:textId="77777777" w:rsidR="008A5DDC" w:rsidRDefault="006F0E16">
    <w:pPr>
      <w:pStyle w:val="Header"/>
    </w:pPr>
    <w:r>
      <w:rPr>
        <w:noProof/>
      </w:rPr>
      <w:pict w14:anchorId="11B44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5.85pt;height:285.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Pr>
        <w:noProof/>
      </w:rPr>
      <w:pict w14:anchorId="4B3A13D8">
        <v:shape id="_x0000_s2057" type="#_x0000_t136" style="position:absolute;margin-left:0;margin-top:0;width:475.85pt;height:285.5pt;rotation:315;z-index:-251657216;mso-position-horizontal:center;mso-position-horizontal-relative:margin;mso-position-vertical:center;mso-position-vertical-relative:margin" o:allowincell="f" fillcolor="#f69ce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2A25" w14:textId="77777777" w:rsidR="00126482" w:rsidRPr="00B7703B" w:rsidRDefault="00126482" w:rsidP="00126482">
    <w:pPr>
      <w:widowControl w:val="0"/>
      <w:spacing w:after="0" w:line="240" w:lineRule="auto"/>
      <w:jc w:val="center"/>
      <w:rPr>
        <w:rFonts w:ascii="Arial" w:eastAsia="Calibri" w:hAnsi="Arial" w:cs="Arial"/>
        <w:b/>
        <w:bCs/>
        <w:color w:val="000000" w:themeColor="text1"/>
      </w:rPr>
    </w:pPr>
    <w:r w:rsidRPr="00B7703B">
      <w:rPr>
        <w:rFonts w:ascii="Arial" w:eastAsia="Calibri" w:hAnsi="Arial" w:cs="Arial"/>
        <w:b/>
        <w:bCs/>
        <w:color w:val="000000" w:themeColor="text1"/>
      </w:rPr>
      <w:t>SUMMARY OF CHANGES</w:t>
    </w:r>
  </w:p>
  <w:p w14:paraId="1FB5BC30" w14:textId="77777777" w:rsidR="00126482" w:rsidRPr="00B7703B" w:rsidRDefault="00126482" w:rsidP="00126482">
    <w:pPr>
      <w:widowControl w:val="0"/>
      <w:spacing w:after="0" w:line="240" w:lineRule="auto"/>
      <w:jc w:val="center"/>
      <w:rPr>
        <w:rFonts w:ascii="Arial" w:eastAsia="Calibri" w:hAnsi="Arial" w:cs="Arial"/>
        <w:b/>
        <w:bCs/>
        <w:color w:val="000000" w:themeColor="text1"/>
      </w:rPr>
    </w:pPr>
    <w:r w:rsidRPr="00B7703B">
      <w:rPr>
        <w:rFonts w:ascii="Arial" w:eastAsia="Calibri" w:hAnsi="Arial" w:cs="Arial"/>
        <w:b/>
        <w:bCs/>
        <w:color w:val="000000" w:themeColor="text1"/>
      </w:rPr>
      <w:t xml:space="preserve">INCLUDED IN THE FULL </w:t>
    </w:r>
    <w:r>
      <w:rPr>
        <w:rFonts w:ascii="Arial" w:eastAsia="Calibri" w:hAnsi="Arial" w:cs="Arial"/>
        <w:b/>
        <w:bCs/>
        <w:color w:val="000000" w:themeColor="text1"/>
      </w:rPr>
      <w:t xml:space="preserve">VERSION </w:t>
    </w:r>
    <w:r w:rsidR="00802919">
      <w:rPr>
        <w:rFonts w:ascii="Arial" w:eastAsia="Calibri" w:hAnsi="Arial" w:cs="Arial"/>
        <w:b/>
        <w:bCs/>
        <w:color w:val="000000" w:themeColor="text1"/>
      </w:rPr>
      <w:t>PROTOCOL AMENDMENT OF</w:t>
    </w:r>
  </w:p>
  <w:p w14:paraId="1A0142C0" w14:textId="77777777" w:rsidR="00126482" w:rsidRPr="00126482" w:rsidRDefault="00126482" w:rsidP="00126482">
    <w:pPr>
      <w:widowControl w:val="0"/>
      <w:spacing w:after="0" w:line="240" w:lineRule="auto"/>
      <w:jc w:val="center"/>
      <w:rPr>
        <w:rFonts w:ascii="Arial" w:eastAsia="Times New Roman" w:hAnsi="Arial" w:cs="Arial"/>
        <w:color w:val="000000" w:themeColor="text1"/>
      </w:rPr>
    </w:pPr>
    <w:r>
      <w:rPr>
        <w:rFonts w:ascii="Arial" w:eastAsia="Times New Roman" w:hAnsi="Arial" w:cs="Arial"/>
        <w:b/>
        <w:color w:val="000000" w:themeColor="text1"/>
      </w:rPr>
      <w:t>MTN-0</w:t>
    </w:r>
    <w:r w:rsidR="005F4239">
      <w:rPr>
        <w:rFonts w:ascii="Arial" w:eastAsia="Times New Roman" w:hAnsi="Arial" w:cs="Arial"/>
        <w:b/>
        <w:color w:val="000000" w:themeColor="text1"/>
      </w:rPr>
      <w:t>33</w:t>
    </w:r>
    <w:r>
      <w:rPr>
        <w:rFonts w:ascii="Arial" w:eastAsia="Times New Roman" w:hAnsi="Arial" w:cs="Arial"/>
        <w:b/>
        <w:color w:val="000000" w:themeColor="text1"/>
      </w:rPr>
      <w:t xml:space="preserve"> </w:t>
    </w:r>
    <w:r w:rsidRPr="00126482">
      <w:rPr>
        <w:rFonts w:ascii="Arial" w:eastAsia="Times New Roman" w:hAnsi="Arial" w:cs="Arial"/>
        <w:b/>
        <w:color w:val="000000" w:themeColor="text1"/>
      </w:rPr>
      <w:t>(continued)</w:t>
    </w:r>
  </w:p>
  <w:p w14:paraId="3D6A73E7" w14:textId="77777777" w:rsidR="00126482" w:rsidRDefault="0012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6EBD16"/>
    <w:lvl w:ilvl="0" w:tplc="0409000F">
      <w:start w:val="1"/>
      <w:numFmt w:val="decimal"/>
      <w:lvlText w:val="%1."/>
      <w:lvlJc w:val="left"/>
      <w:pPr>
        <w:ind w:left="720" w:hanging="360"/>
      </w:pPr>
    </w:lvl>
    <w:lvl w:ilvl="1" w:tplc="04090001">
      <w:start w:val="1"/>
      <w:numFmt w:val="bullet"/>
      <w:lvlText w:val=""/>
      <w:lvlJc w:val="left"/>
      <w:rPr>
        <w:rFonts w:ascii="Symbol" w:hAnsi="Symbol" w:hint="default"/>
      </w:rPr>
    </w:lvl>
    <w:lvl w:ilvl="2" w:tplc="0409000F">
      <w:start w:val="1"/>
      <w:numFmt w:val="decimal"/>
      <w:lvlText w:val="%3."/>
      <w:lvlJc w:val="left"/>
      <w:rPr>
        <w:rFonts w:hint="default"/>
      </w:rPr>
    </w:lvl>
    <w:lvl w:ilvl="3" w:tplc="FFFFFFFF">
      <w:numFmt w:val="decimal"/>
      <w:lvlText w:val=""/>
      <w:lvlJc w:val="left"/>
    </w:lvl>
    <w:lvl w:ilvl="4" w:tplc="46AC7FE2">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46AC7FE2">
      <w:start w:val="1"/>
      <w:numFmt w:val="bullet"/>
      <w:lvlText w:val=""/>
      <w:lvlJc w:val="left"/>
      <w:rPr>
        <w:rFonts w:ascii="Symbol" w:hAnsi="Symbol" w:hint="default"/>
      </w:rPr>
    </w:lvl>
  </w:abstractNum>
  <w:abstractNum w:abstractNumId="1" w15:restartNumberingAfterBreak="0">
    <w:nsid w:val="35140B40"/>
    <w:multiLevelType w:val="multilevel"/>
    <w:tmpl w:val="48B836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666"/>
        </w:tabs>
        <w:ind w:left="666" w:hanging="576"/>
      </w:pPr>
      <w:rPr>
        <w:rFonts w:hint="default"/>
        <w:b/>
        <w:bCs/>
      </w:rPr>
    </w:lvl>
    <w:lvl w:ilvl="2">
      <w:start w:val="1"/>
      <w:numFmt w:val="decimal"/>
      <w:pStyle w:val="Heading3"/>
      <w:lvlText w:val="%1.%2.%3"/>
      <w:lvlJc w:val="left"/>
      <w:pPr>
        <w:tabs>
          <w:tab w:val="num" w:pos="720"/>
        </w:tabs>
      </w:pPr>
      <w:rPr>
        <w:rFonts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F1"/>
    <w:rsid w:val="0000447A"/>
    <w:rsid w:val="00004BB1"/>
    <w:rsid w:val="0000696D"/>
    <w:rsid w:val="00006B0D"/>
    <w:rsid w:val="000118CE"/>
    <w:rsid w:val="000128BF"/>
    <w:rsid w:val="000155EF"/>
    <w:rsid w:val="000203D1"/>
    <w:rsid w:val="000225C2"/>
    <w:rsid w:val="0002582C"/>
    <w:rsid w:val="00026FCF"/>
    <w:rsid w:val="000311C6"/>
    <w:rsid w:val="000317EC"/>
    <w:rsid w:val="00037332"/>
    <w:rsid w:val="000374FE"/>
    <w:rsid w:val="00042FDA"/>
    <w:rsid w:val="00047931"/>
    <w:rsid w:val="00060CB3"/>
    <w:rsid w:val="00061CC9"/>
    <w:rsid w:val="000831BA"/>
    <w:rsid w:val="00093135"/>
    <w:rsid w:val="000975EC"/>
    <w:rsid w:val="000A42DE"/>
    <w:rsid w:val="000A5C78"/>
    <w:rsid w:val="000B44A7"/>
    <w:rsid w:val="000C0F6C"/>
    <w:rsid w:val="000C1A22"/>
    <w:rsid w:val="000D28E2"/>
    <w:rsid w:val="000D5E07"/>
    <w:rsid w:val="000E6AEE"/>
    <w:rsid w:val="000E797D"/>
    <w:rsid w:val="000F3A20"/>
    <w:rsid w:val="00103697"/>
    <w:rsid w:val="001110F6"/>
    <w:rsid w:val="00122CEA"/>
    <w:rsid w:val="00123AD5"/>
    <w:rsid w:val="00126482"/>
    <w:rsid w:val="00141FAB"/>
    <w:rsid w:val="00147723"/>
    <w:rsid w:val="00150906"/>
    <w:rsid w:val="00154E0A"/>
    <w:rsid w:val="00163667"/>
    <w:rsid w:val="00175D0D"/>
    <w:rsid w:val="00177FAE"/>
    <w:rsid w:val="00180AD7"/>
    <w:rsid w:val="00181047"/>
    <w:rsid w:val="001816E5"/>
    <w:rsid w:val="00183DD0"/>
    <w:rsid w:val="00183FA9"/>
    <w:rsid w:val="00186D1F"/>
    <w:rsid w:val="00194BF8"/>
    <w:rsid w:val="00197188"/>
    <w:rsid w:val="00197C2D"/>
    <w:rsid w:val="001A33C4"/>
    <w:rsid w:val="001A60CF"/>
    <w:rsid w:val="001B46B3"/>
    <w:rsid w:val="001B5705"/>
    <w:rsid w:val="001C2F0C"/>
    <w:rsid w:val="001C479B"/>
    <w:rsid w:val="001C66BE"/>
    <w:rsid w:val="001D0A57"/>
    <w:rsid w:val="001D1995"/>
    <w:rsid w:val="001D58B1"/>
    <w:rsid w:val="001E224D"/>
    <w:rsid w:val="001E699D"/>
    <w:rsid w:val="001E7A48"/>
    <w:rsid w:val="001F2863"/>
    <w:rsid w:val="001F5E1D"/>
    <w:rsid w:val="001F6E85"/>
    <w:rsid w:val="00203996"/>
    <w:rsid w:val="0020451C"/>
    <w:rsid w:val="002152FB"/>
    <w:rsid w:val="0022059D"/>
    <w:rsid w:val="002222CE"/>
    <w:rsid w:val="00244A7F"/>
    <w:rsid w:val="002517EB"/>
    <w:rsid w:val="00261E22"/>
    <w:rsid w:val="002634CF"/>
    <w:rsid w:val="00267DD2"/>
    <w:rsid w:val="002709C3"/>
    <w:rsid w:val="0027132F"/>
    <w:rsid w:val="0027486C"/>
    <w:rsid w:val="0027717E"/>
    <w:rsid w:val="00283AFC"/>
    <w:rsid w:val="00290E8B"/>
    <w:rsid w:val="00292C49"/>
    <w:rsid w:val="00294807"/>
    <w:rsid w:val="002978AE"/>
    <w:rsid w:val="002A4A5F"/>
    <w:rsid w:val="002C0A3B"/>
    <w:rsid w:val="002C6CB0"/>
    <w:rsid w:val="002D0CD9"/>
    <w:rsid w:val="002D198E"/>
    <w:rsid w:val="002D587B"/>
    <w:rsid w:val="002E2B41"/>
    <w:rsid w:val="002F17E4"/>
    <w:rsid w:val="002F3730"/>
    <w:rsid w:val="003020D5"/>
    <w:rsid w:val="00304686"/>
    <w:rsid w:val="00312B20"/>
    <w:rsid w:val="00313406"/>
    <w:rsid w:val="0031513C"/>
    <w:rsid w:val="00315ED9"/>
    <w:rsid w:val="00334C31"/>
    <w:rsid w:val="00344BA4"/>
    <w:rsid w:val="00347037"/>
    <w:rsid w:val="00347093"/>
    <w:rsid w:val="00352D67"/>
    <w:rsid w:val="00357A9A"/>
    <w:rsid w:val="00360A83"/>
    <w:rsid w:val="0036181A"/>
    <w:rsid w:val="00363350"/>
    <w:rsid w:val="00367D8F"/>
    <w:rsid w:val="00370D05"/>
    <w:rsid w:val="00372EE6"/>
    <w:rsid w:val="003743EC"/>
    <w:rsid w:val="00376CF2"/>
    <w:rsid w:val="00382DC1"/>
    <w:rsid w:val="0039110E"/>
    <w:rsid w:val="0039246E"/>
    <w:rsid w:val="00394E85"/>
    <w:rsid w:val="003A0632"/>
    <w:rsid w:val="003A6CBF"/>
    <w:rsid w:val="003A71F4"/>
    <w:rsid w:val="003A7261"/>
    <w:rsid w:val="003A75F2"/>
    <w:rsid w:val="003B5171"/>
    <w:rsid w:val="003C12E8"/>
    <w:rsid w:val="003C2902"/>
    <w:rsid w:val="003C5AA5"/>
    <w:rsid w:val="003C5E52"/>
    <w:rsid w:val="003C60A1"/>
    <w:rsid w:val="003D0779"/>
    <w:rsid w:val="003D2712"/>
    <w:rsid w:val="003D61B7"/>
    <w:rsid w:val="003E0EA0"/>
    <w:rsid w:val="003F15FC"/>
    <w:rsid w:val="003F6F23"/>
    <w:rsid w:val="0041028B"/>
    <w:rsid w:val="00411D08"/>
    <w:rsid w:val="00415597"/>
    <w:rsid w:val="00420A11"/>
    <w:rsid w:val="004216D3"/>
    <w:rsid w:val="0042461D"/>
    <w:rsid w:val="004323FC"/>
    <w:rsid w:val="004332F8"/>
    <w:rsid w:val="0043422D"/>
    <w:rsid w:val="00435A07"/>
    <w:rsid w:val="00437BCC"/>
    <w:rsid w:val="00442675"/>
    <w:rsid w:val="00442967"/>
    <w:rsid w:val="00456922"/>
    <w:rsid w:val="00461E6E"/>
    <w:rsid w:val="004666BD"/>
    <w:rsid w:val="0047749C"/>
    <w:rsid w:val="004816C3"/>
    <w:rsid w:val="00482517"/>
    <w:rsid w:val="00482826"/>
    <w:rsid w:val="0048747B"/>
    <w:rsid w:val="00490535"/>
    <w:rsid w:val="00491E7B"/>
    <w:rsid w:val="00497DBE"/>
    <w:rsid w:val="004A4D3E"/>
    <w:rsid w:val="004B0EA0"/>
    <w:rsid w:val="004B32EB"/>
    <w:rsid w:val="004B5E98"/>
    <w:rsid w:val="004B75C4"/>
    <w:rsid w:val="004C24E5"/>
    <w:rsid w:val="004D3F80"/>
    <w:rsid w:val="004D7EC4"/>
    <w:rsid w:val="004E12B7"/>
    <w:rsid w:val="004E28A2"/>
    <w:rsid w:val="004E570D"/>
    <w:rsid w:val="004F65B8"/>
    <w:rsid w:val="00505EA4"/>
    <w:rsid w:val="0051205C"/>
    <w:rsid w:val="00512DBD"/>
    <w:rsid w:val="0052452F"/>
    <w:rsid w:val="0053047A"/>
    <w:rsid w:val="00530CE4"/>
    <w:rsid w:val="005312CF"/>
    <w:rsid w:val="00535037"/>
    <w:rsid w:val="005454EE"/>
    <w:rsid w:val="00554432"/>
    <w:rsid w:val="0055517A"/>
    <w:rsid w:val="00555AD4"/>
    <w:rsid w:val="00555F33"/>
    <w:rsid w:val="005565B2"/>
    <w:rsid w:val="005629BF"/>
    <w:rsid w:val="005630F0"/>
    <w:rsid w:val="00565B91"/>
    <w:rsid w:val="005712F3"/>
    <w:rsid w:val="00575BE1"/>
    <w:rsid w:val="00575E61"/>
    <w:rsid w:val="0058112B"/>
    <w:rsid w:val="00590A52"/>
    <w:rsid w:val="00593D20"/>
    <w:rsid w:val="005A69A6"/>
    <w:rsid w:val="005A7A47"/>
    <w:rsid w:val="005B04F9"/>
    <w:rsid w:val="005B1D0E"/>
    <w:rsid w:val="005B6908"/>
    <w:rsid w:val="005C05BC"/>
    <w:rsid w:val="005C33BA"/>
    <w:rsid w:val="005C44E3"/>
    <w:rsid w:val="005C4C84"/>
    <w:rsid w:val="005C69B8"/>
    <w:rsid w:val="005D12EE"/>
    <w:rsid w:val="005D3321"/>
    <w:rsid w:val="005D4916"/>
    <w:rsid w:val="005D4BD7"/>
    <w:rsid w:val="005D6257"/>
    <w:rsid w:val="005E2BD7"/>
    <w:rsid w:val="005E4610"/>
    <w:rsid w:val="005E59C9"/>
    <w:rsid w:val="005F32F0"/>
    <w:rsid w:val="005F4239"/>
    <w:rsid w:val="005F4292"/>
    <w:rsid w:val="005F4B09"/>
    <w:rsid w:val="005F589D"/>
    <w:rsid w:val="00602E03"/>
    <w:rsid w:val="00615C57"/>
    <w:rsid w:val="00617B16"/>
    <w:rsid w:val="00617F0B"/>
    <w:rsid w:val="006212A8"/>
    <w:rsid w:val="006228A6"/>
    <w:rsid w:val="0062347D"/>
    <w:rsid w:val="006241C3"/>
    <w:rsid w:val="0062741A"/>
    <w:rsid w:val="00632F82"/>
    <w:rsid w:val="00635464"/>
    <w:rsid w:val="00636A1E"/>
    <w:rsid w:val="00642118"/>
    <w:rsid w:val="00663566"/>
    <w:rsid w:val="0066405F"/>
    <w:rsid w:val="006711E6"/>
    <w:rsid w:val="006907A1"/>
    <w:rsid w:val="00697F35"/>
    <w:rsid w:val="006A6FBF"/>
    <w:rsid w:val="006B0089"/>
    <w:rsid w:val="006B0C51"/>
    <w:rsid w:val="006D168E"/>
    <w:rsid w:val="006D40CD"/>
    <w:rsid w:val="006D553A"/>
    <w:rsid w:val="006D7806"/>
    <w:rsid w:val="006E2B52"/>
    <w:rsid w:val="006E7AB3"/>
    <w:rsid w:val="006F0E16"/>
    <w:rsid w:val="006F4945"/>
    <w:rsid w:val="00700625"/>
    <w:rsid w:val="00700679"/>
    <w:rsid w:val="00700C56"/>
    <w:rsid w:val="00702538"/>
    <w:rsid w:val="00706EFC"/>
    <w:rsid w:val="0071308E"/>
    <w:rsid w:val="0071401C"/>
    <w:rsid w:val="007241D9"/>
    <w:rsid w:val="00726CE4"/>
    <w:rsid w:val="00727247"/>
    <w:rsid w:val="00727C03"/>
    <w:rsid w:val="00730F37"/>
    <w:rsid w:val="00731C15"/>
    <w:rsid w:val="00734783"/>
    <w:rsid w:val="00745357"/>
    <w:rsid w:val="00751A64"/>
    <w:rsid w:val="00757A09"/>
    <w:rsid w:val="00760BFE"/>
    <w:rsid w:val="0076673F"/>
    <w:rsid w:val="00771033"/>
    <w:rsid w:val="00773005"/>
    <w:rsid w:val="00773132"/>
    <w:rsid w:val="00773E26"/>
    <w:rsid w:val="00774D07"/>
    <w:rsid w:val="00780C8D"/>
    <w:rsid w:val="00783169"/>
    <w:rsid w:val="00783803"/>
    <w:rsid w:val="007857B7"/>
    <w:rsid w:val="00790828"/>
    <w:rsid w:val="007A5C7F"/>
    <w:rsid w:val="007A6BB7"/>
    <w:rsid w:val="007B3D1F"/>
    <w:rsid w:val="007B6778"/>
    <w:rsid w:val="007B7444"/>
    <w:rsid w:val="007C15C5"/>
    <w:rsid w:val="007C1729"/>
    <w:rsid w:val="007E0745"/>
    <w:rsid w:val="007F07F7"/>
    <w:rsid w:val="007F4C71"/>
    <w:rsid w:val="00800DF4"/>
    <w:rsid w:val="00801EEC"/>
    <w:rsid w:val="008023BC"/>
    <w:rsid w:val="00802919"/>
    <w:rsid w:val="008037C7"/>
    <w:rsid w:val="00817789"/>
    <w:rsid w:val="0082320F"/>
    <w:rsid w:val="00824B0B"/>
    <w:rsid w:val="00825498"/>
    <w:rsid w:val="00841FB9"/>
    <w:rsid w:val="00843D95"/>
    <w:rsid w:val="008463A4"/>
    <w:rsid w:val="00846C31"/>
    <w:rsid w:val="00847186"/>
    <w:rsid w:val="00854437"/>
    <w:rsid w:val="0085465A"/>
    <w:rsid w:val="008555E2"/>
    <w:rsid w:val="0086334E"/>
    <w:rsid w:val="0086423A"/>
    <w:rsid w:val="00867315"/>
    <w:rsid w:val="008848F5"/>
    <w:rsid w:val="008876A8"/>
    <w:rsid w:val="00887C59"/>
    <w:rsid w:val="008975EC"/>
    <w:rsid w:val="008A11F1"/>
    <w:rsid w:val="008A5DDC"/>
    <w:rsid w:val="008B1129"/>
    <w:rsid w:val="008B2721"/>
    <w:rsid w:val="008C2979"/>
    <w:rsid w:val="008D2A0D"/>
    <w:rsid w:val="008D3BFF"/>
    <w:rsid w:val="008D5293"/>
    <w:rsid w:val="008D6400"/>
    <w:rsid w:val="008E674A"/>
    <w:rsid w:val="008F102A"/>
    <w:rsid w:val="008F4242"/>
    <w:rsid w:val="0090369C"/>
    <w:rsid w:val="009047FD"/>
    <w:rsid w:val="00905DFA"/>
    <w:rsid w:val="00907B29"/>
    <w:rsid w:val="00912111"/>
    <w:rsid w:val="00920A77"/>
    <w:rsid w:val="009317EC"/>
    <w:rsid w:val="00942630"/>
    <w:rsid w:val="009466FC"/>
    <w:rsid w:val="00947ADE"/>
    <w:rsid w:val="009505A1"/>
    <w:rsid w:val="00953F4C"/>
    <w:rsid w:val="009549C5"/>
    <w:rsid w:val="0095559F"/>
    <w:rsid w:val="00961125"/>
    <w:rsid w:val="00971B90"/>
    <w:rsid w:val="00975A40"/>
    <w:rsid w:val="00976622"/>
    <w:rsid w:val="009776A4"/>
    <w:rsid w:val="00985CD1"/>
    <w:rsid w:val="00986050"/>
    <w:rsid w:val="009923A3"/>
    <w:rsid w:val="00993361"/>
    <w:rsid w:val="009A0266"/>
    <w:rsid w:val="009A45F6"/>
    <w:rsid w:val="009A5DF2"/>
    <w:rsid w:val="009A6A10"/>
    <w:rsid w:val="009B3838"/>
    <w:rsid w:val="009C1212"/>
    <w:rsid w:val="009C517E"/>
    <w:rsid w:val="009C5B86"/>
    <w:rsid w:val="009D50E3"/>
    <w:rsid w:val="009E1C49"/>
    <w:rsid w:val="009F6554"/>
    <w:rsid w:val="00A03C72"/>
    <w:rsid w:val="00A03D68"/>
    <w:rsid w:val="00A0405D"/>
    <w:rsid w:val="00A10246"/>
    <w:rsid w:val="00A166BE"/>
    <w:rsid w:val="00A2147E"/>
    <w:rsid w:val="00A22DBC"/>
    <w:rsid w:val="00A2587A"/>
    <w:rsid w:val="00A31E23"/>
    <w:rsid w:val="00A35D86"/>
    <w:rsid w:val="00A36D0D"/>
    <w:rsid w:val="00A37B6F"/>
    <w:rsid w:val="00A37E30"/>
    <w:rsid w:val="00A47B62"/>
    <w:rsid w:val="00A52ED9"/>
    <w:rsid w:val="00A602D4"/>
    <w:rsid w:val="00A60A68"/>
    <w:rsid w:val="00A6270C"/>
    <w:rsid w:val="00A641A2"/>
    <w:rsid w:val="00A64910"/>
    <w:rsid w:val="00A70C48"/>
    <w:rsid w:val="00A71E44"/>
    <w:rsid w:val="00A72E15"/>
    <w:rsid w:val="00A74D81"/>
    <w:rsid w:val="00A76E1F"/>
    <w:rsid w:val="00A8205D"/>
    <w:rsid w:val="00A86046"/>
    <w:rsid w:val="00A927A3"/>
    <w:rsid w:val="00A92FA4"/>
    <w:rsid w:val="00A946DB"/>
    <w:rsid w:val="00A95CC3"/>
    <w:rsid w:val="00AA0586"/>
    <w:rsid w:val="00AA70FD"/>
    <w:rsid w:val="00AB2090"/>
    <w:rsid w:val="00AB71ED"/>
    <w:rsid w:val="00AC2DB2"/>
    <w:rsid w:val="00AC305F"/>
    <w:rsid w:val="00AC5854"/>
    <w:rsid w:val="00AD217C"/>
    <w:rsid w:val="00AD287D"/>
    <w:rsid w:val="00AD48D3"/>
    <w:rsid w:val="00AD5CE6"/>
    <w:rsid w:val="00AD6315"/>
    <w:rsid w:val="00AE4C25"/>
    <w:rsid w:val="00AF085B"/>
    <w:rsid w:val="00AF208B"/>
    <w:rsid w:val="00B00B48"/>
    <w:rsid w:val="00B07B7F"/>
    <w:rsid w:val="00B127F0"/>
    <w:rsid w:val="00B159A1"/>
    <w:rsid w:val="00B42AF7"/>
    <w:rsid w:val="00B42D85"/>
    <w:rsid w:val="00B44673"/>
    <w:rsid w:val="00B45AA6"/>
    <w:rsid w:val="00B4690E"/>
    <w:rsid w:val="00B52DD4"/>
    <w:rsid w:val="00B54FAD"/>
    <w:rsid w:val="00B555E0"/>
    <w:rsid w:val="00B57E97"/>
    <w:rsid w:val="00B71789"/>
    <w:rsid w:val="00B72550"/>
    <w:rsid w:val="00B72F0C"/>
    <w:rsid w:val="00B7703B"/>
    <w:rsid w:val="00B81FFA"/>
    <w:rsid w:val="00B836B1"/>
    <w:rsid w:val="00B8596A"/>
    <w:rsid w:val="00B8614E"/>
    <w:rsid w:val="00B91AB0"/>
    <w:rsid w:val="00B935DC"/>
    <w:rsid w:val="00BA2528"/>
    <w:rsid w:val="00BA5665"/>
    <w:rsid w:val="00BA6A5D"/>
    <w:rsid w:val="00BB3BEF"/>
    <w:rsid w:val="00BB4764"/>
    <w:rsid w:val="00BB4EEB"/>
    <w:rsid w:val="00BB5537"/>
    <w:rsid w:val="00BB605C"/>
    <w:rsid w:val="00BB6A39"/>
    <w:rsid w:val="00BB7ECB"/>
    <w:rsid w:val="00BC12D5"/>
    <w:rsid w:val="00BC7652"/>
    <w:rsid w:val="00BC7B36"/>
    <w:rsid w:val="00BD15F5"/>
    <w:rsid w:val="00BD670A"/>
    <w:rsid w:val="00BD6CF6"/>
    <w:rsid w:val="00BE0E9A"/>
    <w:rsid w:val="00BE16F7"/>
    <w:rsid w:val="00BE23F2"/>
    <w:rsid w:val="00BF1929"/>
    <w:rsid w:val="00BF5459"/>
    <w:rsid w:val="00BF6030"/>
    <w:rsid w:val="00C065E3"/>
    <w:rsid w:val="00C26712"/>
    <w:rsid w:val="00C30E28"/>
    <w:rsid w:val="00C3745F"/>
    <w:rsid w:val="00C453C8"/>
    <w:rsid w:val="00C6597C"/>
    <w:rsid w:val="00C84D1D"/>
    <w:rsid w:val="00C9549C"/>
    <w:rsid w:val="00C97994"/>
    <w:rsid w:val="00CA45A1"/>
    <w:rsid w:val="00CB4F38"/>
    <w:rsid w:val="00CC1446"/>
    <w:rsid w:val="00CC3BF4"/>
    <w:rsid w:val="00CC4698"/>
    <w:rsid w:val="00CD0454"/>
    <w:rsid w:val="00CD1D89"/>
    <w:rsid w:val="00CE28FE"/>
    <w:rsid w:val="00CE2A4C"/>
    <w:rsid w:val="00CF1E5D"/>
    <w:rsid w:val="00CF5908"/>
    <w:rsid w:val="00D00CB5"/>
    <w:rsid w:val="00D20E61"/>
    <w:rsid w:val="00D4481D"/>
    <w:rsid w:val="00D4784E"/>
    <w:rsid w:val="00D506AE"/>
    <w:rsid w:val="00D544E5"/>
    <w:rsid w:val="00D555E1"/>
    <w:rsid w:val="00D609C8"/>
    <w:rsid w:val="00D62611"/>
    <w:rsid w:val="00D6404F"/>
    <w:rsid w:val="00D64725"/>
    <w:rsid w:val="00D6505B"/>
    <w:rsid w:val="00D65972"/>
    <w:rsid w:val="00D66DA9"/>
    <w:rsid w:val="00D70582"/>
    <w:rsid w:val="00D75CD6"/>
    <w:rsid w:val="00D76C84"/>
    <w:rsid w:val="00D8193F"/>
    <w:rsid w:val="00D83C3C"/>
    <w:rsid w:val="00D86A94"/>
    <w:rsid w:val="00D91F02"/>
    <w:rsid w:val="00DA25B6"/>
    <w:rsid w:val="00DB4A29"/>
    <w:rsid w:val="00DB63DE"/>
    <w:rsid w:val="00DB7629"/>
    <w:rsid w:val="00DC3788"/>
    <w:rsid w:val="00DD238D"/>
    <w:rsid w:val="00DE003B"/>
    <w:rsid w:val="00DE10BE"/>
    <w:rsid w:val="00DE56C6"/>
    <w:rsid w:val="00DF419D"/>
    <w:rsid w:val="00DF6D26"/>
    <w:rsid w:val="00E06CA9"/>
    <w:rsid w:val="00E12718"/>
    <w:rsid w:val="00E152EA"/>
    <w:rsid w:val="00E15F73"/>
    <w:rsid w:val="00E175C7"/>
    <w:rsid w:val="00E21042"/>
    <w:rsid w:val="00E2207B"/>
    <w:rsid w:val="00E2359E"/>
    <w:rsid w:val="00E306A3"/>
    <w:rsid w:val="00E362B4"/>
    <w:rsid w:val="00E36DE7"/>
    <w:rsid w:val="00E44197"/>
    <w:rsid w:val="00E45BC9"/>
    <w:rsid w:val="00E4617E"/>
    <w:rsid w:val="00E54601"/>
    <w:rsid w:val="00E711FC"/>
    <w:rsid w:val="00E72FF9"/>
    <w:rsid w:val="00E7371F"/>
    <w:rsid w:val="00E82C60"/>
    <w:rsid w:val="00E90641"/>
    <w:rsid w:val="00E928D7"/>
    <w:rsid w:val="00E95F61"/>
    <w:rsid w:val="00EA5F0C"/>
    <w:rsid w:val="00EA6A91"/>
    <w:rsid w:val="00EC406E"/>
    <w:rsid w:val="00ED1C72"/>
    <w:rsid w:val="00ED667B"/>
    <w:rsid w:val="00ED77C2"/>
    <w:rsid w:val="00EE1AFF"/>
    <w:rsid w:val="00EE4304"/>
    <w:rsid w:val="00EE54A1"/>
    <w:rsid w:val="00EF1670"/>
    <w:rsid w:val="00EF1F8E"/>
    <w:rsid w:val="00EF35C8"/>
    <w:rsid w:val="00EF483C"/>
    <w:rsid w:val="00F02FEE"/>
    <w:rsid w:val="00F0582D"/>
    <w:rsid w:val="00F144C7"/>
    <w:rsid w:val="00F14BD1"/>
    <w:rsid w:val="00F16179"/>
    <w:rsid w:val="00F1670A"/>
    <w:rsid w:val="00F21A9A"/>
    <w:rsid w:val="00F23898"/>
    <w:rsid w:val="00F30964"/>
    <w:rsid w:val="00F40061"/>
    <w:rsid w:val="00F40F6F"/>
    <w:rsid w:val="00F41186"/>
    <w:rsid w:val="00F508C2"/>
    <w:rsid w:val="00F50F92"/>
    <w:rsid w:val="00F52140"/>
    <w:rsid w:val="00F554FA"/>
    <w:rsid w:val="00F62711"/>
    <w:rsid w:val="00F72C5D"/>
    <w:rsid w:val="00F812CF"/>
    <w:rsid w:val="00F862E0"/>
    <w:rsid w:val="00F8789D"/>
    <w:rsid w:val="00F9359B"/>
    <w:rsid w:val="00F93F0B"/>
    <w:rsid w:val="00F95FFC"/>
    <w:rsid w:val="00FA00C9"/>
    <w:rsid w:val="00FB24B3"/>
    <w:rsid w:val="00FC0941"/>
    <w:rsid w:val="00FC558A"/>
    <w:rsid w:val="00FC5F90"/>
    <w:rsid w:val="00FC747D"/>
    <w:rsid w:val="00FD20F3"/>
    <w:rsid w:val="00FD4739"/>
    <w:rsid w:val="00FE29A1"/>
    <w:rsid w:val="00FE4F7F"/>
    <w:rsid w:val="00FE79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4E05D06A"/>
  <w15:docId w15:val="{10A526EF-195B-4531-A824-D425608D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3350"/>
  </w:style>
  <w:style w:type="paragraph" w:styleId="Heading1">
    <w:name w:val="heading 1"/>
    <w:basedOn w:val="Normal"/>
    <w:next w:val="Normal"/>
    <w:link w:val="Heading1Char"/>
    <w:uiPriority w:val="99"/>
    <w:qFormat/>
    <w:rsid w:val="00163667"/>
    <w:pPr>
      <w:keepNext/>
      <w:numPr>
        <w:numId w:val="1"/>
      </w:numPr>
      <w:spacing w:before="240" w:after="60" w:line="240" w:lineRule="auto"/>
      <w:jc w:val="center"/>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1816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163667"/>
    <w:pPr>
      <w:keepNext/>
      <w:numPr>
        <w:ilvl w:val="2"/>
        <w:numId w:val="1"/>
      </w:numPr>
      <w:spacing w:before="240" w:after="60" w:line="240" w:lineRule="auto"/>
      <w:jc w:val="center"/>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163667"/>
    <w:pPr>
      <w:keepNext/>
      <w:numPr>
        <w:ilvl w:val="3"/>
        <w:numId w:val="1"/>
      </w:numPr>
      <w:spacing w:before="240" w:after="60" w:line="240" w:lineRule="auto"/>
      <w:jc w:val="center"/>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163667"/>
    <w:pPr>
      <w:numPr>
        <w:ilvl w:val="4"/>
        <w:numId w:val="1"/>
      </w:numPr>
      <w:spacing w:before="240" w:after="60" w:line="240" w:lineRule="auto"/>
      <w:jc w:val="center"/>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163667"/>
    <w:pPr>
      <w:numPr>
        <w:ilvl w:val="5"/>
        <w:numId w:val="1"/>
      </w:numPr>
      <w:spacing w:before="240" w:after="60" w:line="240" w:lineRule="auto"/>
      <w:jc w:val="center"/>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163667"/>
    <w:pPr>
      <w:numPr>
        <w:ilvl w:val="6"/>
        <w:numId w:val="1"/>
      </w:numPr>
      <w:spacing w:before="240" w:after="60" w:line="240" w:lineRule="auto"/>
      <w:jc w:val="center"/>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163667"/>
    <w:pPr>
      <w:numPr>
        <w:ilvl w:val="7"/>
        <w:numId w:val="1"/>
      </w:numPr>
      <w:spacing w:before="240" w:after="60" w:line="240" w:lineRule="auto"/>
      <w:jc w:val="center"/>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163667"/>
    <w:pPr>
      <w:numPr>
        <w:ilvl w:val="8"/>
        <w:numId w:val="1"/>
      </w:numPr>
      <w:spacing w:before="240" w:after="60" w:line="240" w:lineRule="auto"/>
      <w:jc w:val="center"/>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1F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A11F1"/>
    <w:rPr>
      <w:rFonts w:ascii="Calibri" w:eastAsia="Calibri" w:hAnsi="Calibri" w:cs="Times New Roman"/>
    </w:rPr>
  </w:style>
  <w:style w:type="paragraph" w:styleId="Footer">
    <w:name w:val="footer"/>
    <w:basedOn w:val="Normal"/>
    <w:link w:val="FooterChar"/>
    <w:uiPriority w:val="99"/>
    <w:unhideWhenUsed/>
    <w:rsid w:val="008A11F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A11F1"/>
    <w:rPr>
      <w:rFonts w:ascii="Calibri" w:eastAsia="Calibri" w:hAnsi="Calibri" w:cs="Times New Roman"/>
    </w:rPr>
  </w:style>
  <w:style w:type="table" w:styleId="TableGrid">
    <w:name w:val="Table Grid"/>
    <w:basedOn w:val="TableNormal"/>
    <w:uiPriority w:val="59"/>
    <w:rsid w:val="008A1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1F1"/>
    <w:rPr>
      <w:rFonts w:ascii="Tahoma" w:hAnsi="Tahoma" w:cs="Tahoma"/>
      <w:sz w:val="16"/>
      <w:szCs w:val="16"/>
    </w:rPr>
  </w:style>
  <w:style w:type="paragraph" w:styleId="BlockText">
    <w:name w:val="Block Text"/>
    <w:basedOn w:val="Normal"/>
    <w:uiPriority w:val="99"/>
    <w:unhideWhenUsed/>
    <w:rsid w:val="00B127F0"/>
    <w:pPr>
      <w:ind w:left="1980" w:right="-90"/>
    </w:pPr>
    <w:rPr>
      <w:rFonts w:ascii="Arial" w:hAnsi="Arial" w:cs="Arial"/>
    </w:rPr>
  </w:style>
  <w:style w:type="character" w:styleId="Hyperlink">
    <w:name w:val="Hyperlink"/>
    <w:basedOn w:val="DefaultParagraphFont"/>
    <w:uiPriority w:val="99"/>
    <w:unhideWhenUsed/>
    <w:rsid w:val="001F2863"/>
    <w:rPr>
      <w:color w:val="0000FF" w:themeColor="hyperlink"/>
      <w:u w:val="single"/>
    </w:rPr>
  </w:style>
  <w:style w:type="paragraph" w:styleId="ListParagraph">
    <w:name w:val="List Paragraph"/>
    <w:basedOn w:val="Normal"/>
    <w:uiPriority w:val="34"/>
    <w:qFormat/>
    <w:rsid w:val="001F2863"/>
    <w:pPr>
      <w:ind w:left="720"/>
      <w:contextualSpacing/>
    </w:pPr>
  </w:style>
  <w:style w:type="character" w:styleId="CommentReference">
    <w:name w:val="annotation reference"/>
    <w:basedOn w:val="DefaultParagraphFont"/>
    <w:uiPriority w:val="99"/>
    <w:semiHidden/>
    <w:unhideWhenUsed/>
    <w:rsid w:val="00163667"/>
    <w:rPr>
      <w:sz w:val="16"/>
      <w:szCs w:val="16"/>
    </w:rPr>
  </w:style>
  <w:style w:type="paragraph" w:styleId="CommentText">
    <w:name w:val="annotation text"/>
    <w:basedOn w:val="Normal"/>
    <w:link w:val="CommentTextChar"/>
    <w:uiPriority w:val="99"/>
    <w:semiHidden/>
    <w:unhideWhenUsed/>
    <w:rsid w:val="00163667"/>
    <w:pPr>
      <w:spacing w:line="240" w:lineRule="auto"/>
    </w:pPr>
    <w:rPr>
      <w:sz w:val="20"/>
      <w:szCs w:val="20"/>
    </w:rPr>
  </w:style>
  <w:style w:type="character" w:customStyle="1" w:styleId="CommentTextChar">
    <w:name w:val="Comment Text Char"/>
    <w:basedOn w:val="DefaultParagraphFont"/>
    <w:link w:val="CommentText"/>
    <w:uiPriority w:val="99"/>
    <w:semiHidden/>
    <w:rsid w:val="00163667"/>
    <w:rPr>
      <w:sz w:val="20"/>
      <w:szCs w:val="20"/>
    </w:rPr>
  </w:style>
  <w:style w:type="paragraph" w:styleId="CommentSubject">
    <w:name w:val="annotation subject"/>
    <w:basedOn w:val="CommentText"/>
    <w:next w:val="CommentText"/>
    <w:link w:val="CommentSubjectChar"/>
    <w:uiPriority w:val="99"/>
    <w:semiHidden/>
    <w:unhideWhenUsed/>
    <w:rsid w:val="00163667"/>
    <w:rPr>
      <w:b/>
      <w:bCs/>
    </w:rPr>
  </w:style>
  <w:style w:type="character" w:customStyle="1" w:styleId="CommentSubjectChar">
    <w:name w:val="Comment Subject Char"/>
    <w:basedOn w:val="CommentTextChar"/>
    <w:link w:val="CommentSubject"/>
    <w:uiPriority w:val="99"/>
    <w:semiHidden/>
    <w:rsid w:val="00163667"/>
    <w:rPr>
      <w:b/>
      <w:bCs/>
      <w:sz w:val="20"/>
      <w:szCs w:val="20"/>
    </w:rPr>
  </w:style>
  <w:style w:type="character" w:customStyle="1" w:styleId="Heading1Char">
    <w:name w:val="Heading 1 Char"/>
    <w:basedOn w:val="DefaultParagraphFont"/>
    <w:link w:val="Heading1"/>
    <w:uiPriority w:val="99"/>
    <w:rsid w:val="00163667"/>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9"/>
    <w:rsid w:val="00163667"/>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16366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6366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163667"/>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16366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16366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63667"/>
    <w:rPr>
      <w:rFonts w:ascii="Arial" w:eastAsia="Times New Roman" w:hAnsi="Arial" w:cs="Arial"/>
    </w:rPr>
  </w:style>
  <w:style w:type="paragraph" w:styleId="Revision">
    <w:name w:val="Revision"/>
    <w:hidden/>
    <w:uiPriority w:val="99"/>
    <w:semiHidden/>
    <w:rsid w:val="00E362B4"/>
    <w:pPr>
      <w:spacing w:after="0" w:line="240" w:lineRule="auto"/>
    </w:pPr>
  </w:style>
  <w:style w:type="character" w:customStyle="1" w:styleId="Heading2Char">
    <w:name w:val="Heading 2 Char"/>
    <w:basedOn w:val="DefaultParagraphFont"/>
    <w:link w:val="Heading2"/>
    <w:uiPriority w:val="9"/>
    <w:semiHidden/>
    <w:rsid w:val="001816E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773132"/>
    <w:pPr>
      <w:spacing w:after="120"/>
    </w:pPr>
  </w:style>
  <w:style w:type="character" w:customStyle="1" w:styleId="BodyTextChar">
    <w:name w:val="Body Text Char"/>
    <w:basedOn w:val="DefaultParagraphFont"/>
    <w:link w:val="BodyText"/>
    <w:uiPriority w:val="99"/>
    <w:semiHidden/>
    <w:rsid w:val="00773132"/>
  </w:style>
  <w:style w:type="character" w:customStyle="1" w:styleId="Heading1Char1">
    <w:name w:val="Heading 1 Char1"/>
    <w:uiPriority w:val="99"/>
    <w:locked/>
    <w:rsid w:val="00360A83"/>
    <w:rPr>
      <w:rFonts w:ascii="Arial" w:hAnsi="Arial"/>
      <w:b/>
      <w:bCs/>
      <w:kern w:val="32"/>
      <w:sz w:val="32"/>
      <w:szCs w:val="32"/>
    </w:rPr>
  </w:style>
  <w:style w:type="paragraph" w:customStyle="1" w:styleId="Default">
    <w:name w:val="Default"/>
    <w:rsid w:val="0062347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rial">
    <w:name w:val="arial"/>
    <w:basedOn w:val="Normal"/>
    <w:uiPriority w:val="99"/>
    <w:rsid w:val="0062347D"/>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F1670"/>
    <w:pPr>
      <w:widowControl w:val="0"/>
      <w:spacing w:after="0" w:line="240" w:lineRule="auto"/>
    </w:pPr>
  </w:style>
  <w:style w:type="table" w:customStyle="1" w:styleId="TableGrid1">
    <w:name w:val="Table Grid1"/>
    <w:basedOn w:val="TableNormal"/>
    <w:next w:val="TableGrid"/>
    <w:uiPriority w:val="59"/>
    <w:rsid w:val="00954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684">
      <w:bodyDiv w:val="1"/>
      <w:marLeft w:val="0"/>
      <w:marRight w:val="0"/>
      <w:marTop w:val="0"/>
      <w:marBottom w:val="0"/>
      <w:divBdr>
        <w:top w:val="none" w:sz="0" w:space="0" w:color="auto"/>
        <w:left w:val="none" w:sz="0" w:space="0" w:color="auto"/>
        <w:bottom w:val="none" w:sz="0" w:space="0" w:color="auto"/>
        <w:right w:val="none" w:sz="0" w:space="0" w:color="auto"/>
      </w:divBdr>
    </w:div>
    <w:div w:id="75170555">
      <w:bodyDiv w:val="1"/>
      <w:marLeft w:val="0"/>
      <w:marRight w:val="0"/>
      <w:marTop w:val="0"/>
      <w:marBottom w:val="0"/>
      <w:divBdr>
        <w:top w:val="none" w:sz="0" w:space="0" w:color="auto"/>
        <w:left w:val="none" w:sz="0" w:space="0" w:color="auto"/>
        <w:bottom w:val="none" w:sz="0" w:space="0" w:color="auto"/>
        <w:right w:val="none" w:sz="0" w:space="0" w:color="auto"/>
      </w:divBdr>
    </w:div>
    <w:div w:id="140271494">
      <w:bodyDiv w:val="1"/>
      <w:marLeft w:val="0"/>
      <w:marRight w:val="0"/>
      <w:marTop w:val="0"/>
      <w:marBottom w:val="0"/>
      <w:divBdr>
        <w:top w:val="none" w:sz="0" w:space="0" w:color="auto"/>
        <w:left w:val="none" w:sz="0" w:space="0" w:color="auto"/>
        <w:bottom w:val="none" w:sz="0" w:space="0" w:color="auto"/>
        <w:right w:val="none" w:sz="0" w:space="0" w:color="auto"/>
      </w:divBdr>
    </w:div>
    <w:div w:id="320428169">
      <w:bodyDiv w:val="1"/>
      <w:marLeft w:val="0"/>
      <w:marRight w:val="0"/>
      <w:marTop w:val="0"/>
      <w:marBottom w:val="0"/>
      <w:divBdr>
        <w:top w:val="none" w:sz="0" w:space="0" w:color="auto"/>
        <w:left w:val="none" w:sz="0" w:space="0" w:color="auto"/>
        <w:bottom w:val="none" w:sz="0" w:space="0" w:color="auto"/>
        <w:right w:val="none" w:sz="0" w:space="0" w:color="auto"/>
      </w:divBdr>
    </w:div>
    <w:div w:id="345445227">
      <w:bodyDiv w:val="1"/>
      <w:marLeft w:val="0"/>
      <w:marRight w:val="0"/>
      <w:marTop w:val="0"/>
      <w:marBottom w:val="0"/>
      <w:divBdr>
        <w:top w:val="none" w:sz="0" w:space="0" w:color="auto"/>
        <w:left w:val="none" w:sz="0" w:space="0" w:color="auto"/>
        <w:bottom w:val="none" w:sz="0" w:space="0" w:color="auto"/>
        <w:right w:val="none" w:sz="0" w:space="0" w:color="auto"/>
      </w:divBdr>
    </w:div>
    <w:div w:id="372073958">
      <w:bodyDiv w:val="1"/>
      <w:marLeft w:val="0"/>
      <w:marRight w:val="0"/>
      <w:marTop w:val="0"/>
      <w:marBottom w:val="0"/>
      <w:divBdr>
        <w:top w:val="none" w:sz="0" w:space="0" w:color="auto"/>
        <w:left w:val="none" w:sz="0" w:space="0" w:color="auto"/>
        <w:bottom w:val="none" w:sz="0" w:space="0" w:color="auto"/>
        <w:right w:val="none" w:sz="0" w:space="0" w:color="auto"/>
      </w:divBdr>
    </w:div>
    <w:div w:id="433481569">
      <w:bodyDiv w:val="1"/>
      <w:marLeft w:val="0"/>
      <w:marRight w:val="0"/>
      <w:marTop w:val="0"/>
      <w:marBottom w:val="0"/>
      <w:divBdr>
        <w:top w:val="none" w:sz="0" w:space="0" w:color="auto"/>
        <w:left w:val="none" w:sz="0" w:space="0" w:color="auto"/>
        <w:bottom w:val="none" w:sz="0" w:space="0" w:color="auto"/>
        <w:right w:val="none" w:sz="0" w:space="0" w:color="auto"/>
      </w:divBdr>
    </w:div>
    <w:div w:id="524712223">
      <w:bodyDiv w:val="1"/>
      <w:marLeft w:val="0"/>
      <w:marRight w:val="0"/>
      <w:marTop w:val="0"/>
      <w:marBottom w:val="0"/>
      <w:divBdr>
        <w:top w:val="none" w:sz="0" w:space="0" w:color="auto"/>
        <w:left w:val="none" w:sz="0" w:space="0" w:color="auto"/>
        <w:bottom w:val="none" w:sz="0" w:space="0" w:color="auto"/>
        <w:right w:val="none" w:sz="0" w:space="0" w:color="auto"/>
      </w:divBdr>
    </w:div>
    <w:div w:id="678000807">
      <w:bodyDiv w:val="1"/>
      <w:marLeft w:val="0"/>
      <w:marRight w:val="0"/>
      <w:marTop w:val="0"/>
      <w:marBottom w:val="0"/>
      <w:divBdr>
        <w:top w:val="none" w:sz="0" w:space="0" w:color="auto"/>
        <w:left w:val="none" w:sz="0" w:space="0" w:color="auto"/>
        <w:bottom w:val="none" w:sz="0" w:space="0" w:color="auto"/>
        <w:right w:val="none" w:sz="0" w:space="0" w:color="auto"/>
      </w:divBdr>
    </w:div>
    <w:div w:id="720322066">
      <w:bodyDiv w:val="1"/>
      <w:marLeft w:val="0"/>
      <w:marRight w:val="0"/>
      <w:marTop w:val="0"/>
      <w:marBottom w:val="0"/>
      <w:divBdr>
        <w:top w:val="none" w:sz="0" w:space="0" w:color="auto"/>
        <w:left w:val="none" w:sz="0" w:space="0" w:color="auto"/>
        <w:bottom w:val="none" w:sz="0" w:space="0" w:color="auto"/>
        <w:right w:val="none" w:sz="0" w:space="0" w:color="auto"/>
      </w:divBdr>
    </w:div>
    <w:div w:id="789082826">
      <w:bodyDiv w:val="1"/>
      <w:marLeft w:val="0"/>
      <w:marRight w:val="0"/>
      <w:marTop w:val="0"/>
      <w:marBottom w:val="0"/>
      <w:divBdr>
        <w:top w:val="none" w:sz="0" w:space="0" w:color="auto"/>
        <w:left w:val="none" w:sz="0" w:space="0" w:color="auto"/>
        <w:bottom w:val="none" w:sz="0" w:space="0" w:color="auto"/>
        <w:right w:val="none" w:sz="0" w:space="0" w:color="auto"/>
      </w:divBdr>
    </w:div>
    <w:div w:id="885873580">
      <w:bodyDiv w:val="1"/>
      <w:marLeft w:val="0"/>
      <w:marRight w:val="0"/>
      <w:marTop w:val="0"/>
      <w:marBottom w:val="0"/>
      <w:divBdr>
        <w:top w:val="none" w:sz="0" w:space="0" w:color="auto"/>
        <w:left w:val="none" w:sz="0" w:space="0" w:color="auto"/>
        <w:bottom w:val="none" w:sz="0" w:space="0" w:color="auto"/>
        <w:right w:val="none" w:sz="0" w:space="0" w:color="auto"/>
      </w:divBdr>
    </w:div>
    <w:div w:id="910889718">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2996111">
      <w:bodyDiv w:val="1"/>
      <w:marLeft w:val="0"/>
      <w:marRight w:val="0"/>
      <w:marTop w:val="0"/>
      <w:marBottom w:val="0"/>
      <w:divBdr>
        <w:top w:val="none" w:sz="0" w:space="0" w:color="auto"/>
        <w:left w:val="none" w:sz="0" w:space="0" w:color="auto"/>
        <w:bottom w:val="none" w:sz="0" w:space="0" w:color="auto"/>
        <w:right w:val="none" w:sz="0" w:space="0" w:color="auto"/>
      </w:divBdr>
    </w:div>
    <w:div w:id="1152677950">
      <w:bodyDiv w:val="1"/>
      <w:marLeft w:val="0"/>
      <w:marRight w:val="0"/>
      <w:marTop w:val="0"/>
      <w:marBottom w:val="0"/>
      <w:divBdr>
        <w:top w:val="none" w:sz="0" w:space="0" w:color="auto"/>
        <w:left w:val="none" w:sz="0" w:space="0" w:color="auto"/>
        <w:bottom w:val="none" w:sz="0" w:space="0" w:color="auto"/>
        <w:right w:val="none" w:sz="0" w:space="0" w:color="auto"/>
      </w:divBdr>
    </w:div>
    <w:div w:id="1168792691">
      <w:bodyDiv w:val="1"/>
      <w:marLeft w:val="0"/>
      <w:marRight w:val="0"/>
      <w:marTop w:val="0"/>
      <w:marBottom w:val="0"/>
      <w:divBdr>
        <w:top w:val="none" w:sz="0" w:space="0" w:color="auto"/>
        <w:left w:val="none" w:sz="0" w:space="0" w:color="auto"/>
        <w:bottom w:val="none" w:sz="0" w:space="0" w:color="auto"/>
        <w:right w:val="none" w:sz="0" w:space="0" w:color="auto"/>
      </w:divBdr>
    </w:div>
    <w:div w:id="1205286281">
      <w:bodyDiv w:val="1"/>
      <w:marLeft w:val="0"/>
      <w:marRight w:val="0"/>
      <w:marTop w:val="0"/>
      <w:marBottom w:val="0"/>
      <w:divBdr>
        <w:top w:val="none" w:sz="0" w:space="0" w:color="auto"/>
        <w:left w:val="none" w:sz="0" w:space="0" w:color="auto"/>
        <w:bottom w:val="none" w:sz="0" w:space="0" w:color="auto"/>
        <w:right w:val="none" w:sz="0" w:space="0" w:color="auto"/>
      </w:divBdr>
    </w:div>
    <w:div w:id="1297251780">
      <w:bodyDiv w:val="1"/>
      <w:marLeft w:val="0"/>
      <w:marRight w:val="0"/>
      <w:marTop w:val="0"/>
      <w:marBottom w:val="0"/>
      <w:divBdr>
        <w:top w:val="none" w:sz="0" w:space="0" w:color="auto"/>
        <w:left w:val="none" w:sz="0" w:space="0" w:color="auto"/>
        <w:bottom w:val="none" w:sz="0" w:space="0" w:color="auto"/>
        <w:right w:val="none" w:sz="0" w:space="0" w:color="auto"/>
      </w:divBdr>
    </w:div>
    <w:div w:id="1298560822">
      <w:bodyDiv w:val="1"/>
      <w:marLeft w:val="0"/>
      <w:marRight w:val="0"/>
      <w:marTop w:val="0"/>
      <w:marBottom w:val="0"/>
      <w:divBdr>
        <w:top w:val="none" w:sz="0" w:space="0" w:color="auto"/>
        <w:left w:val="none" w:sz="0" w:space="0" w:color="auto"/>
        <w:bottom w:val="none" w:sz="0" w:space="0" w:color="auto"/>
        <w:right w:val="none" w:sz="0" w:space="0" w:color="auto"/>
      </w:divBdr>
    </w:div>
    <w:div w:id="1445347637">
      <w:bodyDiv w:val="1"/>
      <w:marLeft w:val="0"/>
      <w:marRight w:val="0"/>
      <w:marTop w:val="0"/>
      <w:marBottom w:val="0"/>
      <w:divBdr>
        <w:top w:val="none" w:sz="0" w:space="0" w:color="auto"/>
        <w:left w:val="none" w:sz="0" w:space="0" w:color="auto"/>
        <w:bottom w:val="none" w:sz="0" w:space="0" w:color="auto"/>
        <w:right w:val="none" w:sz="0" w:space="0" w:color="auto"/>
      </w:divBdr>
    </w:div>
    <w:div w:id="1450583396">
      <w:bodyDiv w:val="1"/>
      <w:marLeft w:val="0"/>
      <w:marRight w:val="0"/>
      <w:marTop w:val="0"/>
      <w:marBottom w:val="0"/>
      <w:divBdr>
        <w:top w:val="none" w:sz="0" w:space="0" w:color="auto"/>
        <w:left w:val="none" w:sz="0" w:space="0" w:color="auto"/>
        <w:bottom w:val="none" w:sz="0" w:space="0" w:color="auto"/>
        <w:right w:val="none" w:sz="0" w:space="0" w:color="auto"/>
      </w:divBdr>
    </w:div>
    <w:div w:id="1456753764">
      <w:bodyDiv w:val="1"/>
      <w:marLeft w:val="0"/>
      <w:marRight w:val="0"/>
      <w:marTop w:val="0"/>
      <w:marBottom w:val="0"/>
      <w:divBdr>
        <w:top w:val="none" w:sz="0" w:space="0" w:color="auto"/>
        <w:left w:val="none" w:sz="0" w:space="0" w:color="auto"/>
        <w:bottom w:val="none" w:sz="0" w:space="0" w:color="auto"/>
        <w:right w:val="none" w:sz="0" w:space="0" w:color="auto"/>
      </w:divBdr>
    </w:div>
    <w:div w:id="1459105635">
      <w:bodyDiv w:val="1"/>
      <w:marLeft w:val="0"/>
      <w:marRight w:val="0"/>
      <w:marTop w:val="0"/>
      <w:marBottom w:val="0"/>
      <w:divBdr>
        <w:top w:val="none" w:sz="0" w:space="0" w:color="auto"/>
        <w:left w:val="none" w:sz="0" w:space="0" w:color="auto"/>
        <w:bottom w:val="none" w:sz="0" w:space="0" w:color="auto"/>
        <w:right w:val="none" w:sz="0" w:space="0" w:color="auto"/>
      </w:divBdr>
    </w:div>
    <w:div w:id="1713727218">
      <w:bodyDiv w:val="1"/>
      <w:marLeft w:val="0"/>
      <w:marRight w:val="0"/>
      <w:marTop w:val="0"/>
      <w:marBottom w:val="0"/>
      <w:divBdr>
        <w:top w:val="none" w:sz="0" w:space="0" w:color="auto"/>
        <w:left w:val="none" w:sz="0" w:space="0" w:color="auto"/>
        <w:bottom w:val="none" w:sz="0" w:space="0" w:color="auto"/>
        <w:right w:val="none" w:sz="0" w:space="0" w:color="auto"/>
      </w:divBdr>
    </w:div>
    <w:div w:id="1752778860">
      <w:bodyDiv w:val="1"/>
      <w:marLeft w:val="0"/>
      <w:marRight w:val="0"/>
      <w:marTop w:val="0"/>
      <w:marBottom w:val="0"/>
      <w:divBdr>
        <w:top w:val="none" w:sz="0" w:space="0" w:color="auto"/>
        <w:left w:val="none" w:sz="0" w:space="0" w:color="auto"/>
        <w:bottom w:val="none" w:sz="0" w:space="0" w:color="auto"/>
        <w:right w:val="none" w:sz="0" w:space="0" w:color="auto"/>
      </w:divBdr>
    </w:div>
    <w:div w:id="1946571238">
      <w:bodyDiv w:val="1"/>
      <w:marLeft w:val="0"/>
      <w:marRight w:val="0"/>
      <w:marTop w:val="0"/>
      <w:marBottom w:val="0"/>
      <w:divBdr>
        <w:top w:val="none" w:sz="0" w:space="0" w:color="auto"/>
        <w:left w:val="none" w:sz="0" w:space="0" w:color="auto"/>
        <w:bottom w:val="none" w:sz="0" w:space="0" w:color="auto"/>
        <w:right w:val="none" w:sz="0" w:space="0" w:color="auto"/>
      </w:divBdr>
    </w:div>
    <w:div w:id="21375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81E5-4BA2-4FC7-B736-DD222163BB4E}">
  <ds:schemaRefs>
    <ds:schemaRef ds:uri="http://schemas.openxmlformats.org/officeDocument/2006/bibliography"/>
  </ds:schemaRefs>
</ds:datastoreItem>
</file>

<file path=customXml/itemProps2.xml><?xml version="1.0" encoding="utf-8"?>
<ds:datastoreItem xmlns:ds="http://schemas.openxmlformats.org/officeDocument/2006/customXml" ds:itemID="{02ACEA04-D16C-419E-8840-7F2A7F1C1959}">
  <ds:schemaRefs>
    <ds:schemaRef ds:uri="http://schemas.openxmlformats.org/officeDocument/2006/bibliography"/>
  </ds:schemaRefs>
</ds:datastoreItem>
</file>

<file path=customXml/itemProps3.xml><?xml version="1.0" encoding="utf-8"?>
<ds:datastoreItem xmlns:ds="http://schemas.openxmlformats.org/officeDocument/2006/customXml" ds:itemID="{37FB8D5B-B456-4EDD-BF83-4389F5593064}">
  <ds:schemaRefs>
    <ds:schemaRef ds:uri="http://schemas.openxmlformats.org/officeDocument/2006/bibliography"/>
  </ds:schemaRefs>
</ds:datastoreItem>
</file>

<file path=customXml/itemProps4.xml><?xml version="1.0" encoding="utf-8"?>
<ds:datastoreItem xmlns:ds="http://schemas.openxmlformats.org/officeDocument/2006/customXml" ds:itemID="{C37608B7-3908-4BCC-8540-43E2F365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Galaska Burzuk, Beth</dc:creator>
  <cp:lastModifiedBy>Duran, Luis</cp:lastModifiedBy>
  <cp:revision>2</cp:revision>
  <cp:lastPrinted>2017-05-05T18:23:00Z</cp:lastPrinted>
  <dcterms:created xsi:type="dcterms:W3CDTF">2017-12-08T14:57:00Z</dcterms:created>
  <dcterms:modified xsi:type="dcterms:W3CDTF">2017-12-08T14:57:00Z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